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373B" w:rsidRDefault="0017373B" w:rsidP="00082AE8">
      <w:pPr>
        <w:pStyle w:val="Ttulo1"/>
        <w:spacing w:before="0"/>
        <w:jc w:val="center"/>
        <w:rPr>
          <w:b/>
          <w:u w:val="single"/>
        </w:rPr>
      </w:pPr>
    </w:p>
    <w:p w:rsidR="00FB5DBE" w:rsidRDefault="001D3ABD" w:rsidP="00E109FC">
      <w:pPr>
        <w:pStyle w:val="Ttulo1"/>
        <w:spacing w:before="0"/>
        <w:jc w:val="center"/>
        <w:rPr>
          <w:b/>
          <w:u w:val="single"/>
        </w:rPr>
      </w:pPr>
      <w:r>
        <w:rPr>
          <w:b/>
          <w:u w:val="single"/>
        </w:rPr>
        <w:t>COMPROMISO 14</w:t>
      </w:r>
    </w:p>
    <w:p w:rsidR="008E5A66" w:rsidRPr="001D3ABD" w:rsidRDefault="001D3ABD" w:rsidP="008E5A66">
      <w:pPr>
        <w:jc w:val="center"/>
        <w:rPr>
          <w:rFonts w:asciiTheme="majorHAnsi" w:eastAsiaTheme="majorEastAsia" w:hAnsiTheme="majorHAnsi" w:cstheme="majorBidi"/>
          <w:b/>
          <w:color w:val="2E74B5" w:themeColor="accent1" w:themeShade="BF"/>
          <w:sz w:val="30"/>
          <w:szCs w:val="30"/>
          <w:u w:val="single"/>
        </w:rPr>
      </w:pPr>
      <w:r w:rsidRPr="001D3ABD">
        <w:rPr>
          <w:rFonts w:asciiTheme="majorHAnsi" w:eastAsiaTheme="majorEastAsia" w:hAnsiTheme="majorHAnsi" w:cstheme="majorBidi"/>
          <w:b/>
          <w:color w:val="2E74B5" w:themeColor="accent1" w:themeShade="BF"/>
          <w:sz w:val="30"/>
          <w:szCs w:val="30"/>
          <w:u w:val="single"/>
        </w:rPr>
        <w:t>M</w:t>
      </w:r>
      <w:r w:rsidR="008E5A66" w:rsidRPr="001D3ABD">
        <w:rPr>
          <w:rFonts w:asciiTheme="majorHAnsi" w:eastAsiaTheme="majorEastAsia" w:hAnsiTheme="majorHAnsi" w:cstheme="majorBidi"/>
          <w:b/>
          <w:color w:val="2E74B5" w:themeColor="accent1" w:themeShade="BF"/>
          <w:sz w:val="30"/>
          <w:szCs w:val="30"/>
          <w:u w:val="single"/>
        </w:rPr>
        <w:t>E</w:t>
      </w:r>
      <w:r w:rsidRPr="001D3ABD">
        <w:rPr>
          <w:rFonts w:asciiTheme="majorHAnsi" w:eastAsiaTheme="majorEastAsia" w:hAnsiTheme="majorHAnsi" w:cstheme="majorBidi"/>
          <w:b/>
          <w:color w:val="2E74B5" w:themeColor="accent1" w:themeShade="BF"/>
          <w:sz w:val="30"/>
          <w:szCs w:val="30"/>
          <w:u w:val="single"/>
        </w:rPr>
        <w:t>CANISMOS DE RENDICIÓN DE CUENTAS EN LOS GOBIERNOS LOCALES</w:t>
      </w:r>
    </w:p>
    <w:p w:rsidR="001D3ABD" w:rsidRDefault="001D3ABD" w:rsidP="00BC1764">
      <w:pPr>
        <w:pStyle w:val="Ttulo2"/>
        <w:spacing w:before="0"/>
        <w:jc w:val="center"/>
        <w:rPr>
          <w:color w:val="1F4E79" w:themeColor="accent1" w:themeShade="80"/>
          <w:sz w:val="24"/>
          <w:szCs w:val="24"/>
        </w:rPr>
      </w:pPr>
    </w:p>
    <w:p w:rsidR="001D3ABD" w:rsidRPr="001D3ABD" w:rsidRDefault="001D3ABD" w:rsidP="001D3ABD">
      <w:pPr>
        <w:tabs>
          <w:tab w:val="left" w:pos="1134"/>
        </w:tabs>
        <w:ind w:left="1134" w:hanging="1134"/>
        <w:rPr>
          <w:rFonts w:asciiTheme="majorHAnsi" w:eastAsiaTheme="majorEastAsia" w:hAnsiTheme="majorHAnsi" w:cstheme="majorBidi"/>
          <w:color w:val="2E74B5" w:themeColor="accent1" w:themeShade="BF"/>
          <w:sz w:val="30"/>
          <w:szCs w:val="30"/>
        </w:rPr>
      </w:pPr>
      <w:r>
        <w:rPr>
          <w:rFonts w:asciiTheme="majorHAnsi" w:eastAsiaTheme="majorEastAsia" w:hAnsiTheme="majorHAnsi" w:cstheme="majorBidi"/>
          <w:color w:val="2E74B5" w:themeColor="accent1" w:themeShade="BF"/>
          <w:sz w:val="30"/>
          <w:szCs w:val="30"/>
        </w:rPr>
        <w:t xml:space="preserve">Meta 3: </w:t>
      </w:r>
      <w:r>
        <w:rPr>
          <w:rFonts w:asciiTheme="majorHAnsi" w:eastAsiaTheme="majorEastAsia" w:hAnsiTheme="majorHAnsi" w:cstheme="majorBidi"/>
          <w:color w:val="2E74B5" w:themeColor="accent1" w:themeShade="BF"/>
          <w:sz w:val="30"/>
          <w:szCs w:val="30"/>
        </w:rPr>
        <w:tab/>
      </w:r>
      <w:r w:rsidRPr="001D3ABD">
        <w:rPr>
          <w:rFonts w:asciiTheme="majorHAnsi" w:eastAsiaTheme="majorEastAsia" w:hAnsiTheme="majorHAnsi" w:cstheme="majorBidi"/>
          <w:color w:val="2E74B5" w:themeColor="accent1" w:themeShade="BF"/>
          <w:sz w:val="30"/>
          <w:szCs w:val="30"/>
        </w:rPr>
        <w:t>Implementación de mecanismos y procedimientos para avanzar en una adecuada rendición de cuentas en los gobiernos locales</w:t>
      </w:r>
    </w:p>
    <w:p w:rsidR="001D3ABD" w:rsidRDefault="001D3ABD" w:rsidP="00BC1764">
      <w:pPr>
        <w:pStyle w:val="Ttulo2"/>
        <w:spacing w:before="0"/>
        <w:jc w:val="center"/>
        <w:rPr>
          <w:color w:val="1F4E79" w:themeColor="accent1" w:themeShade="80"/>
          <w:sz w:val="24"/>
          <w:szCs w:val="24"/>
        </w:rPr>
      </w:pPr>
    </w:p>
    <w:p w:rsidR="000C68A1" w:rsidRPr="006F6CB9" w:rsidRDefault="001D3ABD" w:rsidP="00BC1764">
      <w:pPr>
        <w:pStyle w:val="Ttulo2"/>
        <w:spacing w:before="0"/>
        <w:jc w:val="center"/>
        <w:rPr>
          <w:i/>
          <w:sz w:val="24"/>
          <w:szCs w:val="30"/>
        </w:rPr>
      </w:pPr>
      <w:r w:rsidRPr="006F6CB9">
        <w:rPr>
          <w:i/>
          <w:sz w:val="24"/>
          <w:szCs w:val="30"/>
        </w:rPr>
        <w:t>Avances al 28 de septiembre de 2017</w:t>
      </w:r>
    </w:p>
    <w:p w:rsidR="00082AE8" w:rsidRPr="001D3ABD" w:rsidRDefault="00082AE8" w:rsidP="00082AE8">
      <w:pPr>
        <w:rPr>
          <w:rFonts w:ascii="Cambria" w:hAnsi="Cambria"/>
          <w:sz w:val="24"/>
        </w:rPr>
      </w:pPr>
    </w:p>
    <w:p w:rsidR="00E109FC" w:rsidRDefault="001D3ABD" w:rsidP="001D3ABD">
      <w:pPr>
        <w:pStyle w:val="Prrafodelista"/>
        <w:numPr>
          <w:ilvl w:val="0"/>
          <w:numId w:val="10"/>
        </w:numPr>
        <w:jc w:val="both"/>
        <w:rPr>
          <w:rFonts w:ascii="Cambria" w:hAnsi="Cambria"/>
          <w:sz w:val="24"/>
        </w:rPr>
      </w:pPr>
      <w:r>
        <w:rPr>
          <w:rFonts w:ascii="Cambria" w:hAnsi="Cambria"/>
          <w:sz w:val="24"/>
        </w:rPr>
        <w:t>El Centro de Investigaciones Económicas Nacionales (CIEN), como organización de la sociedad civil que está colaborando estrechamente con la Contraloría General de Cuentas (CGC) en el cumplimiento del Compromiso 14 del Plan de Acción Nacional de Gobierno Abierto 2016-2018, preparó un borrador de Estrategia de Implementación a inicios del mes de septiembre 2017, documento que está en proceso de revisión por la CGC.</w:t>
      </w:r>
    </w:p>
    <w:p w:rsidR="001D3ABD" w:rsidRDefault="001D3ABD" w:rsidP="001D3ABD">
      <w:pPr>
        <w:pStyle w:val="Prrafodelista"/>
        <w:jc w:val="both"/>
        <w:rPr>
          <w:rFonts w:ascii="Cambria" w:hAnsi="Cambria"/>
          <w:sz w:val="24"/>
        </w:rPr>
      </w:pPr>
    </w:p>
    <w:p w:rsidR="001D3ABD" w:rsidRDefault="001D3ABD" w:rsidP="001D3ABD">
      <w:pPr>
        <w:pStyle w:val="Prrafodelista"/>
        <w:jc w:val="center"/>
        <w:rPr>
          <w:rFonts w:ascii="Cambria" w:hAnsi="Cambria"/>
          <w:sz w:val="24"/>
        </w:rPr>
      </w:pPr>
      <w:r>
        <w:rPr>
          <w:rFonts w:ascii="Cambria" w:hAnsi="Cambria"/>
          <w:noProof/>
          <w:sz w:val="24"/>
          <w:lang w:eastAsia="es-GT"/>
        </w:rPr>
        <w:drawing>
          <wp:inline distT="0" distB="0" distL="0" distR="0">
            <wp:extent cx="2996323" cy="3848100"/>
            <wp:effectExtent l="19050" t="0" r="0" b="0"/>
            <wp:docPr id="1" name="Imagen 1" descr="C:\Users\allima\AppData\Local\Microsoft\Windows\Temporary Internet Files\Content.Outlook\QPAPFS28\meta 3 Estrategia de implementacio (rev Sep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ma\AppData\Local\Microsoft\Windows\Temporary Internet Files\Content.Outlook\QPAPFS28\meta 3 Estrategia de implementacio (rev Sep04)-1.jpg"/>
                    <pic:cNvPicPr>
                      <a:picLocks noChangeAspect="1" noChangeArrowheads="1"/>
                    </pic:cNvPicPr>
                  </pic:nvPicPr>
                  <pic:blipFill>
                    <a:blip r:embed="rId8"/>
                    <a:srcRect/>
                    <a:stretch>
                      <a:fillRect/>
                    </a:stretch>
                  </pic:blipFill>
                  <pic:spPr bwMode="auto">
                    <a:xfrm>
                      <a:off x="0" y="0"/>
                      <a:ext cx="2996323" cy="3848100"/>
                    </a:xfrm>
                    <a:prstGeom prst="rect">
                      <a:avLst/>
                    </a:prstGeom>
                    <a:noFill/>
                    <a:ln w="9525">
                      <a:noFill/>
                      <a:miter lim="800000"/>
                      <a:headEnd/>
                      <a:tailEnd/>
                    </a:ln>
                  </pic:spPr>
                </pic:pic>
              </a:graphicData>
            </a:graphic>
          </wp:inline>
        </w:drawing>
      </w:r>
    </w:p>
    <w:p w:rsidR="006F6CB9" w:rsidRDefault="006F6CB9" w:rsidP="001D3ABD">
      <w:pPr>
        <w:pStyle w:val="Prrafodelista"/>
        <w:jc w:val="center"/>
        <w:rPr>
          <w:rFonts w:ascii="Cambria" w:hAnsi="Cambria"/>
          <w:sz w:val="24"/>
        </w:rPr>
      </w:pPr>
    </w:p>
    <w:p w:rsidR="006F6CB9" w:rsidRDefault="006F6CB9" w:rsidP="001D3ABD">
      <w:pPr>
        <w:pStyle w:val="Prrafodelista"/>
        <w:jc w:val="center"/>
        <w:rPr>
          <w:rFonts w:ascii="Cambria" w:hAnsi="Cambria"/>
          <w:sz w:val="24"/>
        </w:rPr>
      </w:pPr>
    </w:p>
    <w:p w:rsidR="006F6CB9" w:rsidRDefault="006F6CB9" w:rsidP="001D3ABD">
      <w:pPr>
        <w:pStyle w:val="Prrafodelista"/>
        <w:jc w:val="center"/>
        <w:rPr>
          <w:rFonts w:ascii="Cambria" w:hAnsi="Cambria"/>
          <w:sz w:val="24"/>
        </w:rPr>
      </w:pPr>
    </w:p>
    <w:p w:rsidR="006F6CB9" w:rsidRDefault="006F6CB9" w:rsidP="001D3ABD">
      <w:pPr>
        <w:pStyle w:val="Prrafodelista"/>
        <w:jc w:val="center"/>
        <w:rPr>
          <w:rFonts w:ascii="Cambria" w:hAnsi="Cambria"/>
          <w:sz w:val="24"/>
        </w:rPr>
      </w:pPr>
    </w:p>
    <w:p w:rsidR="001D3ABD" w:rsidRPr="001D3ABD" w:rsidRDefault="006F6CB9" w:rsidP="001D3ABD">
      <w:pPr>
        <w:pStyle w:val="Prrafodelista"/>
        <w:numPr>
          <w:ilvl w:val="0"/>
          <w:numId w:val="10"/>
        </w:numPr>
        <w:jc w:val="both"/>
        <w:rPr>
          <w:rFonts w:ascii="Cambria" w:hAnsi="Cambria"/>
          <w:sz w:val="24"/>
        </w:rPr>
      </w:pPr>
      <w:r>
        <w:rPr>
          <w:rFonts w:ascii="Cambria" w:hAnsi="Cambria"/>
          <w:sz w:val="24"/>
        </w:rPr>
        <w:t xml:space="preserve">En las últimas reuniones convocadas por Punto de Contacto de Gobierno Abierto, la CGC sometió a la consideración de los cooperantes la posibilidad de financiar </w:t>
      </w:r>
      <w:r w:rsidRPr="006F6CB9">
        <w:rPr>
          <w:rFonts w:ascii="Cambria" w:hAnsi="Cambria"/>
          <w:sz w:val="24"/>
        </w:rPr>
        <w:t>el diseño y puesta en marcha de un sistema informático</w:t>
      </w:r>
      <w:r>
        <w:rPr>
          <w:rFonts w:ascii="Cambria" w:hAnsi="Cambria"/>
          <w:sz w:val="24"/>
        </w:rPr>
        <w:t xml:space="preserve"> que permita</w:t>
      </w:r>
      <w:r w:rsidRPr="006F6CB9">
        <w:rPr>
          <w:rFonts w:ascii="Cambria" w:hAnsi="Cambria"/>
          <w:sz w:val="24"/>
        </w:rPr>
        <w:t xml:space="preserve"> la implementación masiva</w:t>
      </w:r>
      <w:r>
        <w:rPr>
          <w:rFonts w:ascii="Cambria" w:hAnsi="Cambria"/>
          <w:sz w:val="24"/>
        </w:rPr>
        <w:t xml:space="preserve"> en las municipalidades del país</w:t>
      </w:r>
      <w:r w:rsidRPr="006F6CB9">
        <w:rPr>
          <w:rFonts w:ascii="Cambria" w:hAnsi="Cambria"/>
          <w:sz w:val="24"/>
        </w:rPr>
        <w:t>, y se está a la espera de su respuesta.</w:t>
      </w:r>
    </w:p>
    <w:p w:rsidR="00E109FC" w:rsidRPr="001D3ABD" w:rsidRDefault="00E109FC">
      <w:pPr>
        <w:rPr>
          <w:rFonts w:ascii="Cambria" w:hAnsi="Cambria"/>
          <w:sz w:val="24"/>
        </w:rPr>
      </w:pPr>
    </w:p>
    <w:p w:rsidR="00E109FC" w:rsidRPr="001D3ABD" w:rsidRDefault="00E109FC">
      <w:pPr>
        <w:rPr>
          <w:rFonts w:ascii="Cambria" w:hAnsi="Cambria"/>
          <w:sz w:val="24"/>
        </w:rPr>
      </w:pPr>
    </w:p>
    <w:p w:rsidR="00E109FC" w:rsidRPr="001D3ABD" w:rsidRDefault="00E109FC">
      <w:pPr>
        <w:rPr>
          <w:rFonts w:ascii="Cambria" w:hAnsi="Cambria"/>
          <w:sz w:val="24"/>
        </w:rPr>
      </w:pPr>
    </w:p>
    <w:p w:rsidR="00E109FC" w:rsidRPr="001D3ABD" w:rsidRDefault="00E109FC">
      <w:pPr>
        <w:rPr>
          <w:rFonts w:ascii="Cambria" w:hAnsi="Cambria"/>
          <w:sz w:val="24"/>
        </w:rPr>
      </w:pPr>
    </w:p>
    <w:p w:rsidR="00D21318" w:rsidRPr="001D3ABD" w:rsidRDefault="0045034F">
      <w:pPr>
        <w:rPr>
          <w:rFonts w:ascii="Cambria" w:hAnsi="Cambria"/>
          <w:sz w:val="24"/>
        </w:rPr>
      </w:pPr>
      <w:r w:rsidRPr="001D3ABD">
        <w:rPr>
          <w:rFonts w:ascii="Cambria" w:hAnsi="Cambria" w:cs="Times New Roman"/>
          <w:sz w:val="28"/>
          <w:szCs w:val="24"/>
        </w:rPr>
        <w:pict>
          <v:shapetype id="_x0000_t202" coordsize="21600,21600" o:spt="202" path="m,l,21600r21600,l21600,xe">
            <v:stroke joinstyle="miter"/>
            <v:path gradientshapeok="t" o:connecttype="rect"/>
          </v:shapetype>
          <v:shape id="_x0000_s1031" type="#_x0000_t202" style="position:absolute;margin-left:78pt;margin-top:723.55pt;width:452.75pt;height:34.9pt;z-index:251669504">
            <v:textbox style="mso-next-textbox:#_x0000_s1031">
              <w:txbxContent>
                <w:p w:rsidR="00E109FC" w:rsidRDefault="00E109FC" w:rsidP="00E109FC">
                  <w:r>
                    <w:t>Logos de las instituciones participantes en la mesa, tomando en cuenta que primero se coloca el logo de Gobierno el cual incluye varias instituciones.</w:t>
                  </w:r>
                </w:p>
              </w:txbxContent>
            </v:textbox>
          </v:shape>
        </w:pict>
      </w:r>
      <w:r w:rsidRPr="001D3ABD">
        <w:rPr>
          <w:rFonts w:ascii="Cambria" w:hAnsi="Cambria" w:cs="Times New Roman"/>
          <w:sz w:val="28"/>
          <w:szCs w:val="24"/>
        </w:rPr>
        <w:pict>
          <v:shape id="_x0000_s1030" type="#_x0000_t202" style="position:absolute;margin-left:78pt;margin-top:723.55pt;width:452.75pt;height:34.9pt;z-index:251667456">
            <v:textbox style="mso-next-textbox:#_x0000_s1030">
              <w:txbxContent>
                <w:p w:rsidR="00E109FC" w:rsidRDefault="00E109FC" w:rsidP="00E109FC">
                  <w:r>
                    <w:t>Logos de las instituciones participantes en la mesa, tomando en cuenta que primero se coloca el logo de Gobierno el cual incluye varias instituciones.</w:t>
                  </w:r>
                </w:p>
              </w:txbxContent>
            </v:textbox>
          </v:shape>
        </w:pict>
      </w:r>
    </w:p>
    <w:sectPr w:rsidR="00D21318" w:rsidRPr="001D3ABD" w:rsidSect="006F6CB9">
      <w:headerReference w:type="default" r:id="rId9"/>
      <w:pgSz w:w="12240" w:h="15840" w:code="1"/>
      <w:pgMar w:top="2269" w:right="1701" w:bottom="953"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469B" w:rsidRDefault="0050469B" w:rsidP="001D3ABD">
      <w:pPr>
        <w:spacing w:after="0" w:line="240" w:lineRule="auto"/>
      </w:pPr>
      <w:r>
        <w:separator/>
      </w:r>
    </w:p>
  </w:endnote>
  <w:endnote w:type="continuationSeparator" w:id="1">
    <w:p w:rsidR="0050469B" w:rsidRDefault="0050469B" w:rsidP="001D3AB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469B" w:rsidRDefault="0050469B" w:rsidP="001D3ABD">
      <w:pPr>
        <w:spacing w:after="0" w:line="240" w:lineRule="auto"/>
      </w:pPr>
      <w:r>
        <w:separator/>
      </w:r>
    </w:p>
  </w:footnote>
  <w:footnote w:type="continuationSeparator" w:id="1">
    <w:p w:rsidR="0050469B" w:rsidRDefault="0050469B" w:rsidP="001D3AB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3ABD" w:rsidRDefault="001D3ABD">
    <w:pPr>
      <w:pStyle w:val="Encabezado"/>
    </w:pPr>
    <w:r>
      <w:rPr>
        <w:noProof/>
        <w:lang w:eastAsia="es-GT"/>
      </w:rPr>
      <w:drawing>
        <wp:anchor distT="0" distB="0" distL="114300" distR="114300" simplePos="0" relativeHeight="251659264" behindDoc="1" locked="0" layoutInCell="1" allowOverlap="1">
          <wp:simplePos x="0" y="0"/>
          <wp:positionH relativeFrom="column">
            <wp:posOffset>4568190</wp:posOffset>
          </wp:positionH>
          <wp:positionV relativeFrom="paragraph">
            <wp:posOffset>-145415</wp:posOffset>
          </wp:positionV>
          <wp:extent cx="1028700" cy="1143000"/>
          <wp:effectExtent l="19050" t="0" r="0" b="0"/>
          <wp:wrapTight wrapText="bothSides">
            <wp:wrapPolygon edited="0">
              <wp:start x="2400" y="0"/>
              <wp:lineTo x="2400" y="11520"/>
              <wp:lineTo x="-400" y="17280"/>
              <wp:lineTo x="400" y="20880"/>
              <wp:lineTo x="1600" y="20880"/>
              <wp:lineTo x="4400" y="20880"/>
              <wp:lineTo x="21600" y="19080"/>
              <wp:lineTo x="21600" y="17280"/>
              <wp:lineTo x="20000" y="17280"/>
              <wp:lineTo x="20000" y="0"/>
              <wp:lineTo x="2400" y="0"/>
            </wp:wrapPolygon>
          </wp:wrapTight>
          <wp:docPr id="7" name="Imagen 1" descr="C:\Users\USER\Downloads\GA-GT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ownloads\GA-GT (1).png"/>
                  <pic:cNvPicPr>
                    <a:picLocks noChangeAspect="1" noChangeArrowheads="1"/>
                  </pic:cNvPicPr>
                </pic:nvPicPr>
                <pic:blipFill>
                  <a:blip r:embed="rId1" cstate="print"/>
                  <a:srcRect/>
                  <a:stretch>
                    <a:fillRect/>
                  </a:stretch>
                </pic:blipFill>
                <pic:spPr bwMode="auto">
                  <a:xfrm>
                    <a:off x="0" y="0"/>
                    <a:ext cx="1028700" cy="1143000"/>
                  </a:xfrm>
                  <a:prstGeom prst="rect">
                    <a:avLst/>
                  </a:prstGeom>
                  <a:noFill/>
                  <a:ln w="9525">
                    <a:noFill/>
                    <a:miter lim="800000"/>
                    <a:headEnd/>
                    <a:tailEnd/>
                  </a:ln>
                </pic:spPr>
              </pic:pic>
            </a:graphicData>
          </a:graphic>
        </wp:anchor>
      </w:drawing>
    </w:r>
    <w:r w:rsidRPr="001D3ABD">
      <w:drawing>
        <wp:inline distT="0" distB="0" distL="0" distR="0">
          <wp:extent cx="1685925" cy="680350"/>
          <wp:effectExtent l="19050" t="0" r="9525" b="0"/>
          <wp:docPr id="6" name="Imagen 1" descr="C:\Users\allima\Documents\LOGO CG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lima\Documents\LOGO CGC.jpg"/>
                  <pic:cNvPicPr>
                    <a:picLocks noChangeAspect="1" noChangeArrowheads="1"/>
                  </pic:cNvPicPr>
                </pic:nvPicPr>
                <pic:blipFill>
                  <a:blip r:embed="rId2" cstate="print"/>
                  <a:srcRect/>
                  <a:stretch>
                    <a:fillRect/>
                  </a:stretch>
                </pic:blipFill>
                <pic:spPr bwMode="auto">
                  <a:xfrm>
                    <a:off x="0" y="0"/>
                    <a:ext cx="1688974" cy="681580"/>
                  </a:xfrm>
                  <a:prstGeom prst="rect">
                    <a:avLst/>
                  </a:prstGeom>
                  <a:noFill/>
                  <a:ln w="9525">
                    <a:noFill/>
                    <a:miter lim="800000"/>
                    <a:headEnd/>
                    <a:tailEnd/>
                  </a:ln>
                </pic:spPr>
              </pic:pic>
            </a:graphicData>
          </a:graphic>
        </wp:inline>
      </w:drawing>
    </w:r>
    <w:r w:rsidRPr="001D3ABD">
      <w:rPr>
        <w:noProof/>
        <w:lang w:eastAsia="es-GT"/>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0708B6"/>
    <w:multiLevelType w:val="hybridMultilevel"/>
    <w:tmpl w:val="CC8E0288"/>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1">
    <w:nsid w:val="18330D9E"/>
    <w:multiLevelType w:val="hybridMultilevel"/>
    <w:tmpl w:val="4052194E"/>
    <w:lvl w:ilvl="0" w:tplc="100A000F">
      <w:start w:val="1"/>
      <w:numFmt w:val="decimal"/>
      <w:lvlText w:val="%1."/>
      <w:lvlJc w:val="left"/>
      <w:pPr>
        <w:ind w:left="720" w:hanging="360"/>
      </w:p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2">
    <w:nsid w:val="309A446F"/>
    <w:multiLevelType w:val="hybridMultilevel"/>
    <w:tmpl w:val="3FA62634"/>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3">
    <w:nsid w:val="34770517"/>
    <w:multiLevelType w:val="hybridMultilevel"/>
    <w:tmpl w:val="20B05766"/>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4">
    <w:nsid w:val="3AE22010"/>
    <w:multiLevelType w:val="hybridMultilevel"/>
    <w:tmpl w:val="1C46124E"/>
    <w:lvl w:ilvl="0" w:tplc="100A0011">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5">
    <w:nsid w:val="43F83CFE"/>
    <w:multiLevelType w:val="hybridMultilevel"/>
    <w:tmpl w:val="3E6AF8A8"/>
    <w:lvl w:ilvl="0" w:tplc="100A0001">
      <w:start w:val="1"/>
      <w:numFmt w:val="bullet"/>
      <w:lvlText w:val=""/>
      <w:lvlJc w:val="left"/>
      <w:pPr>
        <w:ind w:left="1440" w:hanging="360"/>
      </w:pPr>
      <w:rPr>
        <w:rFonts w:ascii="Symbol" w:hAnsi="Symbol" w:hint="default"/>
      </w:rPr>
    </w:lvl>
    <w:lvl w:ilvl="1" w:tplc="100A0003" w:tentative="1">
      <w:start w:val="1"/>
      <w:numFmt w:val="bullet"/>
      <w:lvlText w:val="o"/>
      <w:lvlJc w:val="left"/>
      <w:pPr>
        <w:ind w:left="2160" w:hanging="360"/>
      </w:pPr>
      <w:rPr>
        <w:rFonts w:ascii="Courier New" w:hAnsi="Courier New" w:cs="Courier New" w:hint="default"/>
      </w:rPr>
    </w:lvl>
    <w:lvl w:ilvl="2" w:tplc="100A0005" w:tentative="1">
      <w:start w:val="1"/>
      <w:numFmt w:val="bullet"/>
      <w:lvlText w:val=""/>
      <w:lvlJc w:val="left"/>
      <w:pPr>
        <w:ind w:left="2880" w:hanging="360"/>
      </w:pPr>
      <w:rPr>
        <w:rFonts w:ascii="Wingdings" w:hAnsi="Wingdings" w:hint="default"/>
      </w:rPr>
    </w:lvl>
    <w:lvl w:ilvl="3" w:tplc="100A0001" w:tentative="1">
      <w:start w:val="1"/>
      <w:numFmt w:val="bullet"/>
      <w:lvlText w:val=""/>
      <w:lvlJc w:val="left"/>
      <w:pPr>
        <w:ind w:left="3600" w:hanging="360"/>
      </w:pPr>
      <w:rPr>
        <w:rFonts w:ascii="Symbol" w:hAnsi="Symbol" w:hint="default"/>
      </w:rPr>
    </w:lvl>
    <w:lvl w:ilvl="4" w:tplc="100A0003" w:tentative="1">
      <w:start w:val="1"/>
      <w:numFmt w:val="bullet"/>
      <w:lvlText w:val="o"/>
      <w:lvlJc w:val="left"/>
      <w:pPr>
        <w:ind w:left="4320" w:hanging="360"/>
      </w:pPr>
      <w:rPr>
        <w:rFonts w:ascii="Courier New" w:hAnsi="Courier New" w:cs="Courier New" w:hint="default"/>
      </w:rPr>
    </w:lvl>
    <w:lvl w:ilvl="5" w:tplc="100A0005" w:tentative="1">
      <w:start w:val="1"/>
      <w:numFmt w:val="bullet"/>
      <w:lvlText w:val=""/>
      <w:lvlJc w:val="left"/>
      <w:pPr>
        <w:ind w:left="5040" w:hanging="360"/>
      </w:pPr>
      <w:rPr>
        <w:rFonts w:ascii="Wingdings" w:hAnsi="Wingdings" w:hint="default"/>
      </w:rPr>
    </w:lvl>
    <w:lvl w:ilvl="6" w:tplc="100A0001" w:tentative="1">
      <w:start w:val="1"/>
      <w:numFmt w:val="bullet"/>
      <w:lvlText w:val=""/>
      <w:lvlJc w:val="left"/>
      <w:pPr>
        <w:ind w:left="5760" w:hanging="360"/>
      </w:pPr>
      <w:rPr>
        <w:rFonts w:ascii="Symbol" w:hAnsi="Symbol" w:hint="default"/>
      </w:rPr>
    </w:lvl>
    <w:lvl w:ilvl="7" w:tplc="100A0003" w:tentative="1">
      <w:start w:val="1"/>
      <w:numFmt w:val="bullet"/>
      <w:lvlText w:val="o"/>
      <w:lvlJc w:val="left"/>
      <w:pPr>
        <w:ind w:left="6480" w:hanging="360"/>
      </w:pPr>
      <w:rPr>
        <w:rFonts w:ascii="Courier New" w:hAnsi="Courier New" w:cs="Courier New" w:hint="default"/>
      </w:rPr>
    </w:lvl>
    <w:lvl w:ilvl="8" w:tplc="100A0005" w:tentative="1">
      <w:start w:val="1"/>
      <w:numFmt w:val="bullet"/>
      <w:lvlText w:val=""/>
      <w:lvlJc w:val="left"/>
      <w:pPr>
        <w:ind w:left="7200" w:hanging="360"/>
      </w:pPr>
      <w:rPr>
        <w:rFonts w:ascii="Wingdings" w:hAnsi="Wingdings" w:hint="default"/>
      </w:rPr>
    </w:lvl>
  </w:abstractNum>
  <w:abstractNum w:abstractNumId="6">
    <w:nsid w:val="48DA139B"/>
    <w:multiLevelType w:val="hybridMultilevel"/>
    <w:tmpl w:val="B8AAF1B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nsid w:val="4C9A7D15"/>
    <w:multiLevelType w:val="hybridMultilevel"/>
    <w:tmpl w:val="3348AE88"/>
    <w:lvl w:ilvl="0" w:tplc="3E1625CA">
      <w:numFmt w:val="bullet"/>
      <w:lvlText w:val="-"/>
      <w:lvlJc w:val="left"/>
      <w:pPr>
        <w:ind w:left="720" w:hanging="360"/>
      </w:pPr>
      <w:rPr>
        <w:rFonts w:ascii="Calibri" w:eastAsiaTheme="minorHAnsi" w:hAnsi="Calibri" w:cstheme="minorBidi"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8">
    <w:nsid w:val="4DEF21CC"/>
    <w:multiLevelType w:val="hybridMultilevel"/>
    <w:tmpl w:val="79788CEA"/>
    <w:lvl w:ilvl="0" w:tplc="100A0001">
      <w:start w:val="1"/>
      <w:numFmt w:val="bullet"/>
      <w:lvlText w:val=""/>
      <w:lvlJc w:val="left"/>
      <w:pPr>
        <w:ind w:left="720" w:hanging="360"/>
      </w:pPr>
      <w:rPr>
        <w:rFonts w:ascii="Symbol" w:hAnsi="Symbo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9">
    <w:nsid w:val="52CC2788"/>
    <w:multiLevelType w:val="hybridMultilevel"/>
    <w:tmpl w:val="721C1ADA"/>
    <w:lvl w:ilvl="0" w:tplc="100A0001">
      <w:start w:val="1"/>
      <w:numFmt w:val="bullet"/>
      <w:lvlText w:val=""/>
      <w:lvlJc w:val="left"/>
      <w:pPr>
        <w:ind w:left="720" w:hanging="360"/>
      </w:pPr>
      <w:rPr>
        <w:rFonts w:ascii="Symbol" w:hAnsi="Symbol" w:hint="default"/>
      </w:rPr>
    </w:lvl>
    <w:lvl w:ilvl="1" w:tplc="100A0003">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0"/>
  </w:num>
  <w:num w:numId="6">
    <w:abstractNumId w:val="9"/>
  </w:num>
  <w:num w:numId="7">
    <w:abstractNumId w:val="3"/>
  </w:num>
  <w:num w:numId="8">
    <w:abstractNumId w:val="4"/>
  </w:num>
  <w:num w:numId="9">
    <w:abstractNumId w:val="1"/>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FB5DBE"/>
    <w:rsid w:val="00000483"/>
    <w:rsid w:val="00001271"/>
    <w:rsid w:val="00016782"/>
    <w:rsid w:val="0002528C"/>
    <w:rsid w:val="00041AD0"/>
    <w:rsid w:val="00047FF6"/>
    <w:rsid w:val="00066E6D"/>
    <w:rsid w:val="00082AE8"/>
    <w:rsid w:val="00083FD5"/>
    <w:rsid w:val="00095AFC"/>
    <w:rsid w:val="00096575"/>
    <w:rsid w:val="000B5D27"/>
    <w:rsid w:val="000C3AD8"/>
    <w:rsid w:val="000C68A1"/>
    <w:rsid w:val="001067E2"/>
    <w:rsid w:val="001108CB"/>
    <w:rsid w:val="0011440E"/>
    <w:rsid w:val="00147EFB"/>
    <w:rsid w:val="0017373B"/>
    <w:rsid w:val="001B61D3"/>
    <w:rsid w:val="001D3ABD"/>
    <w:rsid w:val="001F7E7D"/>
    <w:rsid w:val="00245320"/>
    <w:rsid w:val="00302E44"/>
    <w:rsid w:val="0032691E"/>
    <w:rsid w:val="003422E1"/>
    <w:rsid w:val="003E0690"/>
    <w:rsid w:val="0040157E"/>
    <w:rsid w:val="00404AF2"/>
    <w:rsid w:val="004334B0"/>
    <w:rsid w:val="0045034F"/>
    <w:rsid w:val="0050469B"/>
    <w:rsid w:val="0050693E"/>
    <w:rsid w:val="00510403"/>
    <w:rsid w:val="005646A0"/>
    <w:rsid w:val="005C2BCE"/>
    <w:rsid w:val="005D33F1"/>
    <w:rsid w:val="005E418C"/>
    <w:rsid w:val="006747A6"/>
    <w:rsid w:val="00691ADC"/>
    <w:rsid w:val="006B230B"/>
    <w:rsid w:val="006E3115"/>
    <w:rsid w:val="006F0964"/>
    <w:rsid w:val="006F2C89"/>
    <w:rsid w:val="006F6CB9"/>
    <w:rsid w:val="00796411"/>
    <w:rsid w:val="007B61E8"/>
    <w:rsid w:val="007C4103"/>
    <w:rsid w:val="007C4D25"/>
    <w:rsid w:val="007D2341"/>
    <w:rsid w:val="007E2BF1"/>
    <w:rsid w:val="007E350B"/>
    <w:rsid w:val="0080086C"/>
    <w:rsid w:val="00833524"/>
    <w:rsid w:val="00853241"/>
    <w:rsid w:val="008633D7"/>
    <w:rsid w:val="00886359"/>
    <w:rsid w:val="008C3EC6"/>
    <w:rsid w:val="008D22DB"/>
    <w:rsid w:val="008E5A66"/>
    <w:rsid w:val="009379F4"/>
    <w:rsid w:val="00972AB6"/>
    <w:rsid w:val="00980553"/>
    <w:rsid w:val="00987488"/>
    <w:rsid w:val="009B6765"/>
    <w:rsid w:val="009D6ACA"/>
    <w:rsid w:val="00A03CDF"/>
    <w:rsid w:val="00A36A77"/>
    <w:rsid w:val="00A469C5"/>
    <w:rsid w:val="00A56C50"/>
    <w:rsid w:val="00A63335"/>
    <w:rsid w:val="00A64621"/>
    <w:rsid w:val="00A97FF0"/>
    <w:rsid w:val="00AC0BDA"/>
    <w:rsid w:val="00AC14A7"/>
    <w:rsid w:val="00AE2182"/>
    <w:rsid w:val="00B6164C"/>
    <w:rsid w:val="00B74622"/>
    <w:rsid w:val="00B87AF3"/>
    <w:rsid w:val="00BC1764"/>
    <w:rsid w:val="00BC43FD"/>
    <w:rsid w:val="00BD0D6A"/>
    <w:rsid w:val="00BE08FB"/>
    <w:rsid w:val="00BF78EF"/>
    <w:rsid w:val="00C06390"/>
    <w:rsid w:val="00C3595B"/>
    <w:rsid w:val="00C83FCD"/>
    <w:rsid w:val="00C87460"/>
    <w:rsid w:val="00C91D3D"/>
    <w:rsid w:val="00CB20FD"/>
    <w:rsid w:val="00CD346B"/>
    <w:rsid w:val="00CE036C"/>
    <w:rsid w:val="00D17AED"/>
    <w:rsid w:val="00D21318"/>
    <w:rsid w:val="00D51514"/>
    <w:rsid w:val="00D646F1"/>
    <w:rsid w:val="00DA0FF2"/>
    <w:rsid w:val="00DE1307"/>
    <w:rsid w:val="00E109FC"/>
    <w:rsid w:val="00E2178E"/>
    <w:rsid w:val="00E260B5"/>
    <w:rsid w:val="00E45372"/>
    <w:rsid w:val="00E62149"/>
    <w:rsid w:val="00E75485"/>
    <w:rsid w:val="00E91F0C"/>
    <w:rsid w:val="00E93BB5"/>
    <w:rsid w:val="00EC400F"/>
    <w:rsid w:val="00ED1318"/>
    <w:rsid w:val="00F653FF"/>
    <w:rsid w:val="00FB3A3F"/>
    <w:rsid w:val="00FB5DBE"/>
    <w:rsid w:val="00FF5725"/>
  </w:rsids>
  <m:mathPr>
    <m:mathFont m:val="Cambria Math"/>
    <m:brkBin m:val="before"/>
    <m:brkBinSub m:val="--"/>
    <m:smallFrac/>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182"/>
  </w:style>
  <w:style w:type="paragraph" w:styleId="Ttulo1">
    <w:name w:val="heading 1"/>
    <w:basedOn w:val="Normal"/>
    <w:next w:val="Normal"/>
    <w:link w:val="Ttulo1Car"/>
    <w:uiPriority w:val="9"/>
    <w:qFormat/>
    <w:rsid w:val="00FB5DB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FB5D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FB5DBE"/>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FB5DBE"/>
    <w:rPr>
      <w:rFonts w:asciiTheme="majorHAnsi" w:eastAsiaTheme="majorEastAsia" w:hAnsiTheme="majorHAnsi" w:cstheme="majorBidi"/>
      <w:color w:val="2E74B5" w:themeColor="accent1" w:themeShade="BF"/>
      <w:sz w:val="26"/>
      <w:szCs w:val="26"/>
    </w:rPr>
  </w:style>
  <w:style w:type="table" w:styleId="Tablaconcuadrcula">
    <w:name w:val="Table Grid"/>
    <w:basedOn w:val="Tablanormal"/>
    <w:uiPriority w:val="39"/>
    <w:rsid w:val="00FB5D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1">
    <w:name w:val="Plain Table 1"/>
    <w:basedOn w:val="Tablanormal"/>
    <w:uiPriority w:val="41"/>
    <w:rsid w:val="00FB5DBE"/>
    <w:pPr>
      <w:spacing w:after="0" w:line="240" w:lineRule="auto"/>
    </w:pPr>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GridTable1LightAccent1">
    <w:name w:val="Grid Table 1 Light Accent 1"/>
    <w:basedOn w:val="Tablanormal"/>
    <w:uiPriority w:val="46"/>
    <w:rsid w:val="00FB5DBE"/>
    <w:pPr>
      <w:spacing w:after="0" w:line="240" w:lineRule="auto"/>
    </w:pPr>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Prrafodelista">
    <w:name w:val="List Paragraph"/>
    <w:basedOn w:val="Normal"/>
    <w:uiPriority w:val="34"/>
    <w:qFormat/>
    <w:rsid w:val="0002528C"/>
    <w:pPr>
      <w:ind w:left="720"/>
      <w:contextualSpacing/>
    </w:pPr>
  </w:style>
  <w:style w:type="paragraph" w:styleId="Textodeglobo">
    <w:name w:val="Balloon Text"/>
    <w:basedOn w:val="Normal"/>
    <w:link w:val="TextodegloboCar"/>
    <w:uiPriority w:val="99"/>
    <w:semiHidden/>
    <w:unhideWhenUsed/>
    <w:rsid w:val="00A36A7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36A77"/>
    <w:rPr>
      <w:rFonts w:ascii="Tahoma" w:hAnsi="Tahoma" w:cs="Tahoma"/>
      <w:sz w:val="16"/>
      <w:szCs w:val="16"/>
    </w:rPr>
  </w:style>
  <w:style w:type="paragraph" w:styleId="Encabezado">
    <w:name w:val="header"/>
    <w:basedOn w:val="Normal"/>
    <w:link w:val="EncabezadoCar"/>
    <w:uiPriority w:val="99"/>
    <w:semiHidden/>
    <w:unhideWhenUsed/>
    <w:rsid w:val="001D3A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semiHidden/>
    <w:rsid w:val="001D3ABD"/>
  </w:style>
  <w:style w:type="paragraph" w:styleId="Piedepgina">
    <w:name w:val="footer"/>
    <w:basedOn w:val="Normal"/>
    <w:link w:val="PiedepginaCar"/>
    <w:uiPriority w:val="99"/>
    <w:semiHidden/>
    <w:unhideWhenUsed/>
    <w:rsid w:val="001D3A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1D3ABD"/>
  </w:style>
</w:styles>
</file>

<file path=word/webSettings.xml><?xml version="1.0" encoding="utf-8"?>
<w:webSettings xmlns:r="http://schemas.openxmlformats.org/officeDocument/2006/relationships" xmlns:w="http://schemas.openxmlformats.org/wordprocessingml/2006/main">
  <w:divs>
    <w:div w:id="141304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FFB15C-4433-4B35-8971-B465FED0A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153</Words>
  <Characters>846</Characters>
  <Application>Microsoft Office Word</Application>
  <DocSecurity>0</DocSecurity>
  <Lines>7</Lines>
  <Paragraphs>1</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 Ramirez</dc:creator>
  <cp:lastModifiedBy>allima</cp:lastModifiedBy>
  <cp:revision>3</cp:revision>
  <cp:lastPrinted>2016-09-01T14:19:00Z</cp:lastPrinted>
  <dcterms:created xsi:type="dcterms:W3CDTF">2017-09-29T15:50:00Z</dcterms:created>
  <dcterms:modified xsi:type="dcterms:W3CDTF">2017-09-29T16:04:00Z</dcterms:modified>
</cp:coreProperties>
</file>