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6983"/>
      </w:tblGrid>
      <w:tr w:rsidR="00477FBC" w:rsidRPr="00263493" w:rsidTr="00477FBC">
        <w:tc>
          <w:tcPr>
            <w:tcW w:w="6983" w:type="dxa"/>
            <w:shd w:val="clear" w:color="auto" w:fill="F7CAAC" w:themeFill="accent2" w:themeFillTint="66"/>
          </w:tcPr>
          <w:p w:rsidR="00477FBC" w:rsidRPr="00263493" w:rsidRDefault="00477FBC" w:rsidP="005B7450">
            <w:pPr>
              <w:pStyle w:val="Textoindependiente"/>
              <w:tabs>
                <w:tab w:val="left" w:pos="1786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2"/>
                <w:lang w:val="es-GT"/>
              </w:rPr>
            </w:pPr>
            <w:bookmarkStart w:id="0" w:name="z10To"/>
            <w:bookmarkStart w:id="1" w:name="_GoBack"/>
            <w:bookmarkEnd w:id="1"/>
          </w:p>
        </w:tc>
      </w:tr>
    </w:tbl>
    <w:p w:rsidR="00477FBC" w:rsidRPr="00263493" w:rsidRDefault="00477FBC" w:rsidP="00263493">
      <w:pPr>
        <w:pStyle w:val="Textoindependiente"/>
        <w:tabs>
          <w:tab w:val="left" w:pos="1786"/>
        </w:tabs>
        <w:spacing w:before="100" w:beforeAutospacing="1" w:after="100" w:afterAutospacing="1" w:line="240" w:lineRule="auto"/>
        <w:ind w:left="2381" w:hanging="2381"/>
        <w:jc w:val="both"/>
        <w:rPr>
          <w:rFonts w:ascii="Arial" w:hAnsi="Arial" w:cs="Arial"/>
          <w:b/>
          <w:szCs w:val="20"/>
          <w:lang w:val="es-GT"/>
        </w:rPr>
      </w:pPr>
      <w:r w:rsidRPr="00263493">
        <w:rPr>
          <w:rFonts w:ascii="Arial" w:hAnsi="Arial" w:cs="Arial"/>
          <w:b/>
          <w:szCs w:val="20"/>
          <w:lang w:val="es-GT"/>
        </w:rPr>
        <w:t xml:space="preserve">Entidad </w:t>
      </w:r>
      <w:r w:rsidR="00263493" w:rsidRPr="00263493">
        <w:rPr>
          <w:rFonts w:ascii="Arial" w:hAnsi="Arial" w:cs="Arial"/>
          <w:b/>
          <w:szCs w:val="20"/>
          <w:lang w:val="es-GT"/>
        </w:rPr>
        <w:t>a</w:t>
      </w:r>
      <w:r w:rsidRPr="00263493">
        <w:rPr>
          <w:rFonts w:ascii="Arial" w:hAnsi="Arial" w:cs="Arial"/>
          <w:b/>
          <w:szCs w:val="20"/>
          <w:lang w:val="es-GT"/>
        </w:rPr>
        <w:t>uditada:</w:t>
      </w:r>
    </w:p>
    <w:tbl>
      <w:tblPr>
        <w:tblStyle w:val="Tablaconcuadrcula"/>
        <w:tblpPr w:leftFromText="141" w:rightFromText="141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6983"/>
      </w:tblGrid>
      <w:tr w:rsidR="00477FBC" w:rsidRPr="00263493" w:rsidTr="00477FBC">
        <w:tc>
          <w:tcPr>
            <w:tcW w:w="6983" w:type="dxa"/>
            <w:shd w:val="clear" w:color="auto" w:fill="F7CAAC" w:themeFill="accent2" w:themeFillTint="66"/>
          </w:tcPr>
          <w:p w:rsidR="00477FBC" w:rsidRPr="00263493" w:rsidRDefault="00477FBC" w:rsidP="00263493">
            <w:pPr>
              <w:pStyle w:val="Textoindependiente"/>
              <w:tabs>
                <w:tab w:val="left" w:pos="1786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Cs w:val="20"/>
                <w:lang w:val="es-GT"/>
              </w:rPr>
            </w:pPr>
          </w:p>
        </w:tc>
      </w:tr>
    </w:tbl>
    <w:p w:rsidR="00477FBC" w:rsidRPr="00263493" w:rsidRDefault="00477FBC" w:rsidP="00263493">
      <w:pPr>
        <w:pStyle w:val="Textoindependiente"/>
        <w:tabs>
          <w:tab w:val="left" w:pos="1786"/>
        </w:tabs>
        <w:spacing w:before="100" w:beforeAutospacing="1" w:after="100" w:afterAutospacing="1" w:line="240" w:lineRule="auto"/>
        <w:ind w:left="2381" w:hanging="2381"/>
        <w:jc w:val="both"/>
        <w:rPr>
          <w:rFonts w:ascii="Arial" w:hAnsi="Arial" w:cs="Arial"/>
          <w:b/>
          <w:szCs w:val="20"/>
          <w:lang w:val="es-GT"/>
        </w:rPr>
      </w:pPr>
      <w:r w:rsidRPr="00263493">
        <w:rPr>
          <w:rFonts w:ascii="Arial" w:hAnsi="Arial" w:cs="Arial"/>
          <w:b/>
          <w:szCs w:val="20"/>
          <w:lang w:val="es-GT"/>
        </w:rPr>
        <w:t>Programa BID:</w:t>
      </w:r>
    </w:p>
    <w:tbl>
      <w:tblPr>
        <w:tblStyle w:val="Tablaconcuadrcula"/>
        <w:tblpPr w:leftFromText="141" w:rightFromText="141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6983"/>
      </w:tblGrid>
      <w:tr w:rsidR="00477FBC" w:rsidRPr="00263493" w:rsidTr="00477FBC">
        <w:tc>
          <w:tcPr>
            <w:tcW w:w="6983" w:type="dxa"/>
            <w:shd w:val="clear" w:color="auto" w:fill="F7CAAC" w:themeFill="accent2" w:themeFillTint="66"/>
          </w:tcPr>
          <w:p w:rsidR="00477FBC" w:rsidRPr="00263493" w:rsidRDefault="00477FBC" w:rsidP="00263493">
            <w:pPr>
              <w:pStyle w:val="Textoindependiente"/>
              <w:tabs>
                <w:tab w:val="left" w:pos="1786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Cs w:val="20"/>
                <w:lang w:val="es-GT"/>
              </w:rPr>
            </w:pPr>
          </w:p>
        </w:tc>
      </w:tr>
    </w:tbl>
    <w:p w:rsidR="00477FBC" w:rsidRPr="00263493" w:rsidRDefault="00477FBC" w:rsidP="00263493">
      <w:pPr>
        <w:pStyle w:val="Textoindependiente"/>
        <w:tabs>
          <w:tab w:val="left" w:pos="1786"/>
        </w:tabs>
        <w:spacing w:before="100" w:beforeAutospacing="1" w:after="100" w:afterAutospacing="1" w:line="240" w:lineRule="auto"/>
        <w:ind w:left="2381" w:hanging="2381"/>
        <w:jc w:val="both"/>
        <w:rPr>
          <w:rFonts w:ascii="Arial" w:hAnsi="Arial" w:cs="Arial"/>
          <w:b/>
          <w:szCs w:val="20"/>
          <w:lang w:val="es-GT"/>
        </w:rPr>
      </w:pPr>
      <w:r w:rsidRPr="00263493">
        <w:rPr>
          <w:rFonts w:ascii="Arial" w:hAnsi="Arial" w:cs="Arial"/>
          <w:b/>
          <w:szCs w:val="20"/>
          <w:lang w:val="es-GT"/>
        </w:rPr>
        <w:t>Año terminado:</w:t>
      </w:r>
    </w:p>
    <w:p w:rsidR="00477FBC" w:rsidRPr="00263493" w:rsidRDefault="00477FBC" w:rsidP="00263493">
      <w:pPr>
        <w:pStyle w:val="Textoindependiente"/>
        <w:tabs>
          <w:tab w:val="left" w:pos="1786"/>
        </w:tabs>
        <w:spacing w:after="0" w:line="240" w:lineRule="auto"/>
        <w:ind w:left="2381" w:hanging="2381"/>
        <w:jc w:val="both"/>
        <w:rPr>
          <w:rFonts w:ascii="Arial" w:hAnsi="Arial" w:cs="Arial"/>
          <w:b/>
          <w:sz w:val="22"/>
          <w:lang w:val="es-GT"/>
        </w:rPr>
      </w:pPr>
    </w:p>
    <w:bookmarkEnd w:id="0"/>
    <w:p w:rsidR="00576702" w:rsidRPr="00263493" w:rsidRDefault="00477FBC" w:rsidP="00263493">
      <w:pPr>
        <w:pStyle w:val="Textoindependiente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sz w:val="22"/>
          <w:lang w:val="es-GT"/>
        </w:rPr>
      </w:pPr>
      <w:r w:rsidRPr="00263493">
        <w:rPr>
          <w:rFonts w:ascii="Arial" w:hAnsi="Arial" w:cs="Arial"/>
          <w:b/>
          <w:sz w:val="22"/>
          <w:lang w:val="es-GT"/>
        </w:rPr>
        <w:t>Antecedentes de la entidad auditada</w:t>
      </w:r>
    </w:p>
    <w:p w:rsidR="00576702" w:rsidRPr="00263493" w:rsidRDefault="00477FBC" w:rsidP="00263493">
      <w:pPr>
        <w:spacing w:line="276" w:lineRule="auto"/>
        <w:ind w:left="360"/>
        <w:jc w:val="both"/>
        <w:rPr>
          <w:rFonts w:ascii="Arial" w:hAnsi="Arial" w:cs="Arial"/>
          <w:color w:val="FF0000"/>
          <w:sz w:val="22"/>
          <w:lang w:val="es-GT"/>
        </w:rPr>
      </w:pPr>
      <w:r w:rsidRPr="00263493">
        <w:rPr>
          <w:rFonts w:ascii="Arial" w:hAnsi="Arial" w:cs="Arial"/>
          <w:color w:val="FF0000"/>
          <w:sz w:val="22"/>
          <w:lang w:val="es-GT"/>
        </w:rPr>
        <w:t>(Indicar nombre del programa)</w:t>
      </w:r>
      <w:r w:rsidR="00576702" w:rsidRPr="00263493">
        <w:rPr>
          <w:rFonts w:ascii="Arial" w:hAnsi="Arial" w:cs="Arial"/>
          <w:sz w:val="22"/>
          <w:lang w:val="es-GT"/>
        </w:rPr>
        <w:t xml:space="preserve">, nace </w:t>
      </w:r>
      <w:r w:rsidRPr="00263493">
        <w:rPr>
          <w:rFonts w:ascii="Arial" w:hAnsi="Arial" w:cs="Arial"/>
          <w:color w:val="FF0000"/>
          <w:sz w:val="22"/>
          <w:lang w:val="es-GT"/>
        </w:rPr>
        <w:t>(indicar la fecha que inicio la ejecución el programa)</w:t>
      </w:r>
      <w:r w:rsidR="00576702" w:rsidRPr="00263493">
        <w:rPr>
          <w:rFonts w:ascii="Arial" w:hAnsi="Arial" w:cs="Arial"/>
          <w:sz w:val="22"/>
          <w:lang w:val="es-GT"/>
        </w:rPr>
        <w:t xml:space="preserve">, cuando el Banco Interamericano de Desarrollo suscribió el Contrato de Préstamo </w:t>
      </w:r>
      <w:r w:rsidRPr="00263493">
        <w:rPr>
          <w:rFonts w:ascii="Arial" w:hAnsi="Arial" w:cs="Arial"/>
          <w:color w:val="FF0000"/>
          <w:sz w:val="22"/>
          <w:lang w:val="es-GT"/>
        </w:rPr>
        <w:t xml:space="preserve">(indicar el número de préstamo) </w:t>
      </w:r>
      <w:r w:rsidR="00576702" w:rsidRPr="00263493">
        <w:rPr>
          <w:rFonts w:ascii="Arial" w:hAnsi="Arial" w:cs="Arial"/>
          <w:sz w:val="22"/>
          <w:lang w:val="es-GT"/>
        </w:rPr>
        <w:t xml:space="preserve">para financiar el </w:t>
      </w:r>
      <w:r w:rsidR="00576702" w:rsidRPr="00263493">
        <w:rPr>
          <w:rStyle w:val="Nmerodepgina"/>
          <w:rFonts w:ascii="Arial" w:hAnsi="Arial" w:cs="Arial"/>
          <w:sz w:val="22"/>
          <w:lang w:val="es-GT"/>
        </w:rPr>
        <w:t>Programa</w:t>
      </w:r>
      <w:r w:rsidR="00576702" w:rsidRPr="00263493">
        <w:rPr>
          <w:rFonts w:ascii="Arial" w:hAnsi="Arial" w:cs="Arial"/>
          <w:sz w:val="22"/>
          <w:lang w:val="es-GT"/>
        </w:rPr>
        <w:t xml:space="preserve">, el cual </w:t>
      </w:r>
      <w:r w:rsidRPr="00263493">
        <w:rPr>
          <w:rFonts w:ascii="Arial" w:hAnsi="Arial" w:cs="Arial"/>
          <w:sz w:val="22"/>
          <w:lang w:val="es-GT"/>
        </w:rPr>
        <w:t xml:space="preserve">es </w:t>
      </w:r>
      <w:r w:rsidR="00576702" w:rsidRPr="00263493">
        <w:rPr>
          <w:rFonts w:ascii="Arial" w:hAnsi="Arial" w:cs="Arial"/>
          <w:sz w:val="22"/>
          <w:lang w:val="es-GT"/>
        </w:rPr>
        <w:t xml:space="preserve">ejecutado por </w:t>
      </w:r>
      <w:r w:rsidRPr="00263493">
        <w:rPr>
          <w:rFonts w:ascii="Arial" w:hAnsi="Arial" w:cs="Arial"/>
          <w:color w:val="FF0000"/>
          <w:sz w:val="22"/>
          <w:lang w:val="es-GT"/>
        </w:rPr>
        <w:t>(indicar la institución de gobierno)</w:t>
      </w:r>
    </w:p>
    <w:p w:rsidR="00576702" w:rsidRPr="00263493" w:rsidRDefault="00576702" w:rsidP="00263493">
      <w:pPr>
        <w:spacing w:line="276" w:lineRule="auto"/>
        <w:ind w:left="360"/>
        <w:jc w:val="both"/>
        <w:rPr>
          <w:rFonts w:ascii="Arial" w:hAnsi="Arial" w:cs="Arial"/>
          <w:sz w:val="22"/>
          <w:lang w:val="es-GT"/>
        </w:rPr>
      </w:pPr>
    </w:p>
    <w:p w:rsidR="00576702" w:rsidRPr="00263493" w:rsidRDefault="00576702" w:rsidP="00263493">
      <w:pPr>
        <w:spacing w:line="276" w:lineRule="auto"/>
        <w:ind w:left="360"/>
        <w:jc w:val="both"/>
        <w:rPr>
          <w:rFonts w:ascii="Arial" w:hAnsi="Arial" w:cs="Arial"/>
          <w:sz w:val="22"/>
          <w:lang w:val="es-GT"/>
        </w:rPr>
      </w:pPr>
      <w:r w:rsidRPr="00263493">
        <w:rPr>
          <w:rFonts w:ascii="Arial" w:hAnsi="Arial" w:cs="Arial"/>
          <w:sz w:val="22"/>
          <w:lang w:val="es-GT"/>
        </w:rPr>
        <w:t>El préstamo fue aprobado por un monto de USD</w:t>
      </w:r>
      <w:r w:rsidR="00477FBC" w:rsidRPr="00263493">
        <w:rPr>
          <w:rFonts w:ascii="Arial" w:hAnsi="Arial" w:cs="Arial"/>
          <w:sz w:val="22"/>
          <w:lang w:val="es-GT"/>
        </w:rPr>
        <w:t>XXXX</w:t>
      </w:r>
      <w:r w:rsidRPr="00263493">
        <w:rPr>
          <w:rFonts w:ascii="Arial" w:hAnsi="Arial" w:cs="Arial"/>
          <w:sz w:val="22"/>
          <w:lang w:val="es-GT"/>
        </w:rPr>
        <w:t xml:space="preserve"> cuenta con un período de gracia de </w:t>
      </w:r>
      <w:r w:rsidR="00477FBC" w:rsidRPr="00263493">
        <w:rPr>
          <w:rFonts w:ascii="Arial" w:hAnsi="Arial" w:cs="Arial"/>
          <w:sz w:val="22"/>
          <w:lang w:val="es-GT"/>
        </w:rPr>
        <w:t>XXXX</w:t>
      </w:r>
      <w:r w:rsidRPr="00263493">
        <w:rPr>
          <w:rFonts w:ascii="Arial" w:hAnsi="Arial" w:cs="Arial"/>
          <w:sz w:val="22"/>
          <w:lang w:val="es-GT"/>
        </w:rPr>
        <w:t xml:space="preserve"> a partir de la fecha de vigencia del contrato. El plazo para finalizar los desembolsos será de </w:t>
      </w:r>
      <w:proofErr w:type="spellStart"/>
      <w:r w:rsidR="00477FBC" w:rsidRPr="00263493">
        <w:rPr>
          <w:rFonts w:ascii="Arial" w:hAnsi="Arial" w:cs="Arial"/>
          <w:sz w:val="22"/>
          <w:lang w:val="es-GT"/>
        </w:rPr>
        <w:t>dd</w:t>
      </w:r>
      <w:proofErr w:type="spellEnd"/>
      <w:r w:rsidR="00477FBC" w:rsidRPr="00263493">
        <w:rPr>
          <w:rFonts w:ascii="Arial" w:hAnsi="Arial" w:cs="Arial"/>
          <w:sz w:val="22"/>
          <w:lang w:val="es-GT"/>
        </w:rPr>
        <w:t>/mm/</w:t>
      </w:r>
      <w:proofErr w:type="spellStart"/>
      <w:r w:rsidR="00477FBC" w:rsidRPr="00263493">
        <w:rPr>
          <w:rFonts w:ascii="Arial" w:hAnsi="Arial" w:cs="Arial"/>
          <w:sz w:val="22"/>
          <w:lang w:val="es-GT"/>
        </w:rPr>
        <w:t>aa</w:t>
      </w:r>
      <w:proofErr w:type="spellEnd"/>
      <w:r w:rsidRPr="00263493">
        <w:rPr>
          <w:rFonts w:ascii="Arial" w:hAnsi="Arial" w:cs="Arial"/>
          <w:sz w:val="22"/>
          <w:lang w:val="es-GT"/>
        </w:rPr>
        <w:t xml:space="preserve"> </w:t>
      </w:r>
      <w:r w:rsidR="00477FBC" w:rsidRPr="00263493">
        <w:rPr>
          <w:rFonts w:ascii="Arial" w:hAnsi="Arial" w:cs="Arial"/>
          <w:sz w:val="22"/>
          <w:lang w:val="es-GT"/>
        </w:rPr>
        <w:t xml:space="preserve">a </w:t>
      </w:r>
      <w:r w:rsidRPr="00263493">
        <w:rPr>
          <w:rFonts w:ascii="Arial" w:hAnsi="Arial" w:cs="Arial"/>
          <w:sz w:val="22"/>
          <w:lang w:val="es-GT"/>
        </w:rPr>
        <w:t xml:space="preserve">partir de la vigencia del contrato. </w:t>
      </w:r>
    </w:p>
    <w:p w:rsidR="00576702" w:rsidRPr="00263493" w:rsidRDefault="00576702" w:rsidP="00263493">
      <w:pPr>
        <w:spacing w:line="276" w:lineRule="auto"/>
        <w:ind w:left="360"/>
        <w:jc w:val="both"/>
        <w:rPr>
          <w:rFonts w:ascii="Arial" w:hAnsi="Arial" w:cs="Arial"/>
          <w:sz w:val="22"/>
          <w:lang w:val="es-GT"/>
        </w:rPr>
      </w:pPr>
    </w:p>
    <w:p w:rsidR="00576702" w:rsidRPr="00263493" w:rsidRDefault="00576702" w:rsidP="00263493">
      <w:pPr>
        <w:spacing w:line="276" w:lineRule="auto"/>
        <w:ind w:left="360"/>
        <w:jc w:val="both"/>
        <w:rPr>
          <w:rFonts w:ascii="Arial" w:hAnsi="Arial" w:cs="Arial"/>
          <w:sz w:val="22"/>
          <w:lang w:val="es-GT"/>
        </w:rPr>
      </w:pPr>
      <w:r w:rsidRPr="00263493">
        <w:rPr>
          <w:rFonts w:ascii="Arial" w:hAnsi="Arial" w:cs="Arial"/>
          <w:sz w:val="22"/>
          <w:lang w:val="es-GT"/>
        </w:rPr>
        <w:t xml:space="preserve">Conforme </w:t>
      </w:r>
      <w:r w:rsidR="00477FBC" w:rsidRPr="00263493">
        <w:rPr>
          <w:rFonts w:ascii="Arial" w:hAnsi="Arial" w:cs="Arial"/>
          <w:sz w:val="22"/>
          <w:lang w:val="es-GT"/>
        </w:rPr>
        <w:t xml:space="preserve">indica el </w:t>
      </w:r>
      <w:r w:rsidRPr="00263493">
        <w:rPr>
          <w:rFonts w:ascii="Arial" w:hAnsi="Arial" w:cs="Arial"/>
          <w:sz w:val="22"/>
          <w:lang w:val="es-GT"/>
        </w:rPr>
        <w:t xml:space="preserve">Banco Interamericano de Desarrollo la ampliación al plazo del desembolso final hasta el </w:t>
      </w:r>
      <w:proofErr w:type="spellStart"/>
      <w:r w:rsidR="00477FBC" w:rsidRPr="00263493">
        <w:rPr>
          <w:rFonts w:ascii="Arial" w:hAnsi="Arial" w:cs="Arial"/>
          <w:sz w:val="22"/>
          <w:lang w:val="es-GT"/>
        </w:rPr>
        <w:t>dd</w:t>
      </w:r>
      <w:proofErr w:type="spellEnd"/>
      <w:r w:rsidR="00477FBC" w:rsidRPr="00263493">
        <w:rPr>
          <w:rFonts w:ascii="Arial" w:hAnsi="Arial" w:cs="Arial"/>
          <w:sz w:val="22"/>
          <w:lang w:val="es-GT"/>
        </w:rPr>
        <w:t>/mm/aa</w:t>
      </w:r>
      <w:r w:rsidRPr="00263493">
        <w:rPr>
          <w:rFonts w:ascii="Arial" w:hAnsi="Arial" w:cs="Arial"/>
          <w:sz w:val="22"/>
          <w:lang w:val="es-GT"/>
        </w:rPr>
        <w:t>.</w:t>
      </w:r>
    </w:p>
    <w:p w:rsidR="00576702" w:rsidRPr="00263493" w:rsidRDefault="00576702" w:rsidP="00263493">
      <w:pPr>
        <w:spacing w:line="276" w:lineRule="auto"/>
        <w:ind w:left="360"/>
        <w:jc w:val="both"/>
        <w:rPr>
          <w:rFonts w:ascii="Arial" w:hAnsi="Arial" w:cs="Arial"/>
          <w:sz w:val="22"/>
          <w:lang w:val="es-GT"/>
        </w:rPr>
      </w:pPr>
    </w:p>
    <w:p w:rsidR="00576702" w:rsidRPr="00263493" w:rsidRDefault="00576702" w:rsidP="00263493">
      <w:pPr>
        <w:spacing w:line="276" w:lineRule="auto"/>
        <w:ind w:left="360"/>
        <w:jc w:val="both"/>
        <w:rPr>
          <w:rFonts w:ascii="Arial" w:hAnsi="Arial" w:cs="Arial"/>
          <w:sz w:val="22"/>
          <w:lang w:val="es-GT"/>
        </w:rPr>
      </w:pPr>
      <w:r w:rsidRPr="00263493">
        <w:rPr>
          <w:rFonts w:ascii="Arial" w:hAnsi="Arial" w:cs="Arial"/>
          <w:sz w:val="22"/>
          <w:lang w:val="es-GT"/>
        </w:rPr>
        <w:t xml:space="preserve">La finalidad del Programa </w:t>
      </w:r>
      <w:r w:rsidR="00477FBC" w:rsidRPr="00263493">
        <w:rPr>
          <w:rFonts w:ascii="Arial" w:hAnsi="Arial" w:cs="Arial"/>
          <w:sz w:val="22"/>
          <w:lang w:val="es-GT"/>
        </w:rPr>
        <w:t xml:space="preserve">es </w:t>
      </w:r>
      <w:r w:rsidRPr="00263493">
        <w:rPr>
          <w:rFonts w:ascii="Arial" w:hAnsi="Arial" w:cs="Arial"/>
          <w:sz w:val="22"/>
          <w:lang w:val="es-GT"/>
        </w:rPr>
        <w:t xml:space="preserve">mejorar </w:t>
      </w:r>
      <w:r w:rsidR="00477FBC" w:rsidRPr="00263493">
        <w:rPr>
          <w:rFonts w:ascii="Arial" w:hAnsi="Arial" w:cs="Arial"/>
          <w:color w:val="FF0000"/>
          <w:sz w:val="22"/>
          <w:lang w:val="es-GT"/>
        </w:rPr>
        <w:t>(indicar una breve descripción de los objetivos y actividades del programa).</w:t>
      </w:r>
    </w:p>
    <w:p w:rsidR="000C1E05" w:rsidRPr="00263493" w:rsidRDefault="00576702" w:rsidP="00263493">
      <w:pPr>
        <w:pStyle w:val="Textoindependiente"/>
        <w:spacing w:after="0" w:line="276" w:lineRule="auto"/>
        <w:ind w:left="360"/>
        <w:jc w:val="both"/>
        <w:rPr>
          <w:rFonts w:ascii="Arial" w:hAnsi="Arial" w:cs="Arial"/>
          <w:sz w:val="22"/>
          <w:lang w:val="es-GT"/>
        </w:rPr>
      </w:pPr>
      <w:r w:rsidRPr="00263493">
        <w:rPr>
          <w:rFonts w:ascii="Arial" w:hAnsi="Arial" w:cs="Arial"/>
          <w:sz w:val="22"/>
          <w:lang w:val="es-GT"/>
        </w:rPr>
        <w:t xml:space="preserve">El propósito de este memorándum, es resumir el entendimiento del equipo de auditoría respecto al riesgo de error material relacionado con el “Reconocimiento de ingresos”, tomando en </w:t>
      </w:r>
      <w:r w:rsidR="000C1E05" w:rsidRPr="00263493">
        <w:rPr>
          <w:rFonts w:ascii="Arial" w:hAnsi="Arial" w:cs="Arial"/>
          <w:sz w:val="22"/>
          <w:lang w:val="es-GT"/>
        </w:rPr>
        <w:t>consideración lo establecido en la NIA 240 respecto al supuesto</w:t>
      </w:r>
      <w:r w:rsidRPr="00263493">
        <w:rPr>
          <w:rFonts w:ascii="Arial" w:hAnsi="Arial" w:cs="Arial"/>
          <w:sz w:val="22"/>
          <w:lang w:val="es-GT"/>
        </w:rPr>
        <w:t xml:space="preserve"> de riesgo de error material debido a fraude</w:t>
      </w:r>
      <w:r w:rsidR="000C1E05" w:rsidRPr="00263493">
        <w:rPr>
          <w:rFonts w:ascii="Arial" w:hAnsi="Arial" w:cs="Arial"/>
          <w:sz w:val="22"/>
          <w:lang w:val="es-GT"/>
        </w:rPr>
        <w:t xml:space="preserve"> en el reconocimiento de ingresos y que hace necesario</w:t>
      </w:r>
      <w:r w:rsidR="007E5849" w:rsidRPr="00263493">
        <w:rPr>
          <w:rFonts w:ascii="Arial" w:hAnsi="Arial" w:cs="Arial"/>
          <w:sz w:val="22"/>
          <w:lang w:val="es-GT"/>
        </w:rPr>
        <w:t xml:space="preserve"> entender y</w:t>
      </w:r>
      <w:r w:rsidR="000C1E05" w:rsidRPr="00263493">
        <w:rPr>
          <w:rFonts w:ascii="Arial" w:hAnsi="Arial" w:cs="Arial"/>
          <w:sz w:val="22"/>
          <w:lang w:val="es-GT"/>
        </w:rPr>
        <w:t xml:space="preserve"> analizar el </w:t>
      </w:r>
      <w:r w:rsidRPr="00263493">
        <w:rPr>
          <w:rFonts w:ascii="Arial" w:hAnsi="Arial" w:cs="Arial"/>
          <w:sz w:val="22"/>
          <w:lang w:val="es-GT"/>
        </w:rPr>
        <w:t xml:space="preserve">ambiente de </w:t>
      </w:r>
      <w:r w:rsidR="000C1E05" w:rsidRPr="00263493">
        <w:rPr>
          <w:rFonts w:ascii="Arial" w:hAnsi="Arial" w:cs="Arial"/>
          <w:sz w:val="22"/>
          <w:lang w:val="es-GT"/>
        </w:rPr>
        <w:t>control, así como</w:t>
      </w:r>
      <w:r w:rsidRPr="00263493">
        <w:rPr>
          <w:rFonts w:ascii="Arial" w:hAnsi="Arial" w:cs="Arial"/>
          <w:sz w:val="22"/>
          <w:lang w:val="es-GT"/>
        </w:rPr>
        <w:t xml:space="preserve"> la</w:t>
      </w:r>
      <w:r w:rsidR="000C1E05" w:rsidRPr="00263493">
        <w:rPr>
          <w:rFonts w:ascii="Arial" w:hAnsi="Arial" w:cs="Arial"/>
          <w:sz w:val="22"/>
          <w:lang w:val="es-GT"/>
        </w:rPr>
        <w:t>s</w:t>
      </w:r>
      <w:r w:rsidRPr="00263493">
        <w:rPr>
          <w:rFonts w:ascii="Arial" w:hAnsi="Arial" w:cs="Arial"/>
          <w:sz w:val="22"/>
          <w:lang w:val="es-GT"/>
        </w:rPr>
        <w:t xml:space="preserve"> </w:t>
      </w:r>
      <w:r w:rsidR="000C1E05" w:rsidRPr="00263493">
        <w:rPr>
          <w:rFonts w:ascii="Arial" w:hAnsi="Arial" w:cs="Arial"/>
          <w:sz w:val="22"/>
          <w:lang w:val="es-GT"/>
        </w:rPr>
        <w:t>actividades de control de los ingresos.</w:t>
      </w:r>
    </w:p>
    <w:p w:rsidR="00576702" w:rsidRPr="00263493" w:rsidRDefault="00576702" w:rsidP="00263493">
      <w:pPr>
        <w:pStyle w:val="Textoindependiente"/>
        <w:spacing w:after="0" w:line="276" w:lineRule="auto"/>
        <w:ind w:left="360"/>
        <w:jc w:val="both"/>
        <w:rPr>
          <w:rFonts w:ascii="Arial" w:hAnsi="Arial" w:cs="Arial"/>
          <w:sz w:val="22"/>
          <w:lang w:val="es-GT"/>
        </w:rPr>
      </w:pPr>
      <w:r w:rsidRPr="00263493">
        <w:rPr>
          <w:rFonts w:ascii="Arial" w:hAnsi="Arial" w:cs="Arial"/>
          <w:sz w:val="22"/>
          <w:lang w:val="es-GT"/>
        </w:rPr>
        <w:t xml:space="preserve">Por el año terminado al 31 de diciembre de </w:t>
      </w:r>
      <w:r w:rsidR="00E5255A" w:rsidRPr="00263493">
        <w:rPr>
          <w:rFonts w:ascii="Arial" w:hAnsi="Arial" w:cs="Arial"/>
          <w:sz w:val="22"/>
          <w:lang w:val="es-GT"/>
        </w:rPr>
        <w:t>XXX</w:t>
      </w:r>
      <w:r w:rsidRPr="00263493">
        <w:rPr>
          <w:rFonts w:ascii="Arial" w:hAnsi="Arial" w:cs="Arial"/>
          <w:sz w:val="22"/>
          <w:lang w:val="es-GT"/>
        </w:rPr>
        <w:t xml:space="preserve">, El </w:t>
      </w:r>
      <w:r w:rsidR="00E5255A" w:rsidRPr="00263493">
        <w:rPr>
          <w:rFonts w:ascii="Arial" w:hAnsi="Arial" w:cs="Arial"/>
          <w:sz w:val="22"/>
          <w:lang w:val="es-GT"/>
        </w:rPr>
        <w:t>programa</w:t>
      </w:r>
      <w:r w:rsidRPr="00263493">
        <w:rPr>
          <w:rFonts w:ascii="Arial" w:hAnsi="Arial" w:cs="Arial"/>
          <w:sz w:val="22"/>
          <w:lang w:val="es-GT"/>
        </w:rPr>
        <w:t xml:space="preserve"> muestra ingresos totales de US$</w:t>
      </w:r>
      <w:r w:rsidR="00E5255A" w:rsidRPr="00263493">
        <w:rPr>
          <w:rFonts w:ascii="Arial" w:hAnsi="Arial" w:cs="Arial"/>
          <w:sz w:val="22"/>
          <w:lang w:val="es-GT"/>
        </w:rPr>
        <w:t>XXXXX</w:t>
      </w:r>
      <w:r w:rsidRPr="00263493">
        <w:rPr>
          <w:rFonts w:ascii="Arial" w:hAnsi="Arial" w:cs="Arial"/>
          <w:sz w:val="22"/>
          <w:lang w:val="es-GT"/>
        </w:rPr>
        <w:t>.</w:t>
      </w:r>
    </w:p>
    <w:p w:rsidR="00845E1B" w:rsidRPr="00263493" w:rsidRDefault="00845E1B" w:rsidP="00263493">
      <w:pPr>
        <w:pStyle w:val="Textoindependiente"/>
        <w:spacing w:after="0" w:line="276" w:lineRule="auto"/>
        <w:ind w:left="360"/>
        <w:jc w:val="both"/>
        <w:rPr>
          <w:rFonts w:ascii="Arial" w:hAnsi="Arial" w:cs="Arial"/>
          <w:sz w:val="22"/>
          <w:lang w:val="es-GT"/>
        </w:rPr>
      </w:pPr>
    </w:p>
    <w:p w:rsidR="00576702" w:rsidRPr="00263493" w:rsidRDefault="005B7450" w:rsidP="00263493">
      <w:pPr>
        <w:pStyle w:val="Textoindependiente"/>
        <w:spacing w:after="0" w:line="276" w:lineRule="auto"/>
        <w:ind w:left="360"/>
        <w:jc w:val="both"/>
        <w:rPr>
          <w:rFonts w:ascii="Arial" w:hAnsi="Arial" w:cs="Arial"/>
          <w:sz w:val="22"/>
          <w:lang w:val="es-GT"/>
        </w:rPr>
      </w:pPr>
      <w:r w:rsidRPr="00263493">
        <w:rPr>
          <w:rFonts w:ascii="Arial" w:hAnsi="Arial" w:cs="Arial"/>
          <w:sz w:val="22"/>
          <w:lang w:val="es-GT"/>
        </w:rPr>
        <w:t xml:space="preserve">Los tipos de ingresos </w:t>
      </w:r>
      <w:r w:rsidR="00576702" w:rsidRPr="00263493">
        <w:rPr>
          <w:rFonts w:ascii="Arial" w:hAnsi="Arial" w:cs="Arial"/>
          <w:sz w:val="22"/>
          <w:lang w:val="es-GT"/>
        </w:rPr>
        <w:t xml:space="preserve">del Programa se presentan </w:t>
      </w:r>
      <w:r w:rsidRPr="00263493">
        <w:rPr>
          <w:rFonts w:ascii="Arial" w:hAnsi="Arial" w:cs="Arial"/>
          <w:sz w:val="22"/>
          <w:lang w:val="es-GT"/>
        </w:rPr>
        <w:t>detallan a continuación:</w:t>
      </w:r>
    </w:p>
    <w:p w:rsidR="005B7450" w:rsidRPr="00263493" w:rsidRDefault="005B7450" w:rsidP="00263493">
      <w:pPr>
        <w:pStyle w:val="Textoindependiente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Arial" w:hAnsi="Arial" w:cs="Arial"/>
          <w:sz w:val="22"/>
          <w:lang w:val="es-GT"/>
        </w:rPr>
      </w:pPr>
      <w:r w:rsidRPr="00263493">
        <w:rPr>
          <w:rFonts w:ascii="Arial" w:hAnsi="Arial" w:cs="Arial"/>
          <w:color w:val="FF0000"/>
          <w:sz w:val="22"/>
          <w:lang w:val="es-GT"/>
        </w:rPr>
        <w:t>X%</w:t>
      </w:r>
      <w:r w:rsidRPr="00263493">
        <w:rPr>
          <w:rFonts w:ascii="Arial" w:hAnsi="Arial" w:cs="Arial"/>
          <w:sz w:val="22"/>
          <w:lang w:val="es-GT"/>
        </w:rPr>
        <w:t xml:space="preserve"> de ingresos son producto de desembolsos del BID</w:t>
      </w:r>
    </w:p>
    <w:p w:rsidR="005B7450" w:rsidRPr="00263493" w:rsidRDefault="005B7450" w:rsidP="00263493">
      <w:pPr>
        <w:pStyle w:val="Prrafodelista"/>
        <w:numPr>
          <w:ilvl w:val="0"/>
          <w:numId w:val="6"/>
        </w:numPr>
        <w:spacing w:after="0" w:line="276" w:lineRule="auto"/>
        <w:ind w:left="714" w:hanging="357"/>
        <w:contextualSpacing w:val="0"/>
        <w:jc w:val="both"/>
        <w:rPr>
          <w:rFonts w:cs="Arial"/>
          <w:sz w:val="22"/>
          <w:szCs w:val="22"/>
          <w:lang w:val="es-419"/>
        </w:rPr>
      </w:pPr>
      <w:r w:rsidRPr="00263493">
        <w:rPr>
          <w:rFonts w:cs="Arial"/>
          <w:color w:val="FF0000"/>
          <w:sz w:val="22"/>
          <w:szCs w:val="22"/>
          <w:lang w:val="es-419"/>
        </w:rPr>
        <w:t>X%</w:t>
      </w:r>
      <w:r w:rsidRPr="00263493">
        <w:rPr>
          <w:rFonts w:cs="Arial"/>
          <w:sz w:val="22"/>
          <w:szCs w:val="22"/>
          <w:lang w:val="es-419"/>
        </w:rPr>
        <w:t xml:space="preserve"> de desembolsos del gobierno de Guatemala.</w:t>
      </w:r>
    </w:p>
    <w:p w:rsidR="005B7450" w:rsidRPr="00263493" w:rsidRDefault="005B7450" w:rsidP="00263493">
      <w:pPr>
        <w:pStyle w:val="Prrafodelista"/>
        <w:numPr>
          <w:ilvl w:val="0"/>
          <w:numId w:val="6"/>
        </w:numPr>
        <w:spacing w:after="0" w:line="276" w:lineRule="auto"/>
        <w:ind w:left="714" w:hanging="357"/>
        <w:contextualSpacing w:val="0"/>
        <w:jc w:val="both"/>
        <w:rPr>
          <w:rFonts w:cs="Arial"/>
          <w:sz w:val="22"/>
          <w:szCs w:val="22"/>
          <w:lang w:val="es-419"/>
        </w:rPr>
      </w:pPr>
      <w:r w:rsidRPr="00263493">
        <w:rPr>
          <w:rFonts w:cs="Arial"/>
          <w:color w:val="FF0000"/>
          <w:sz w:val="22"/>
          <w:szCs w:val="22"/>
          <w:lang w:val="es-419"/>
        </w:rPr>
        <w:t>X%</w:t>
      </w:r>
      <w:r w:rsidRPr="00263493">
        <w:rPr>
          <w:rFonts w:cs="Arial"/>
          <w:sz w:val="22"/>
          <w:szCs w:val="22"/>
          <w:lang w:val="es-419"/>
        </w:rPr>
        <w:t xml:space="preserve"> de donaciones de otras instituciones.</w:t>
      </w:r>
    </w:p>
    <w:p w:rsidR="005B7450" w:rsidRPr="00263493" w:rsidRDefault="005B7450" w:rsidP="00263493">
      <w:pPr>
        <w:pStyle w:val="Prrafodelista"/>
        <w:numPr>
          <w:ilvl w:val="0"/>
          <w:numId w:val="6"/>
        </w:numPr>
        <w:spacing w:after="0" w:line="276" w:lineRule="auto"/>
        <w:ind w:left="714" w:hanging="357"/>
        <w:contextualSpacing w:val="0"/>
        <w:jc w:val="both"/>
        <w:rPr>
          <w:rFonts w:cs="Arial"/>
          <w:sz w:val="22"/>
          <w:szCs w:val="22"/>
          <w:lang w:val="es-419"/>
        </w:rPr>
      </w:pPr>
      <w:r w:rsidRPr="00263493">
        <w:rPr>
          <w:rFonts w:cs="Arial"/>
          <w:color w:val="FF0000"/>
          <w:sz w:val="22"/>
          <w:szCs w:val="22"/>
          <w:lang w:val="es-419"/>
        </w:rPr>
        <w:t>X%</w:t>
      </w:r>
      <w:r w:rsidRPr="00263493">
        <w:rPr>
          <w:rFonts w:cs="Arial"/>
          <w:sz w:val="22"/>
          <w:szCs w:val="22"/>
          <w:lang w:val="es-419"/>
        </w:rPr>
        <w:t xml:space="preserve"> de ingresos por penalizaciones a contratistas y proveedores.</w:t>
      </w:r>
    </w:p>
    <w:p w:rsidR="005B7450" w:rsidRPr="00263493" w:rsidRDefault="005B7450" w:rsidP="00263493">
      <w:pPr>
        <w:pStyle w:val="Prrafodelista"/>
        <w:numPr>
          <w:ilvl w:val="0"/>
          <w:numId w:val="6"/>
        </w:numPr>
        <w:spacing w:after="0" w:line="276" w:lineRule="auto"/>
        <w:ind w:left="714" w:hanging="357"/>
        <w:contextualSpacing w:val="0"/>
        <w:jc w:val="both"/>
        <w:rPr>
          <w:rFonts w:cs="Arial"/>
          <w:sz w:val="22"/>
          <w:szCs w:val="22"/>
          <w:lang w:val="es-419"/>
        </w:rPr>
      </w:pPr>
      <w:r w:rsidRPr="00263493">
        <w:rPr>
          <w:rFonts w:cs="Arial"/>
          <w:color w:val="FF0000"/>
          <w:sz w:val="22"/>
          <w:szCs w:val="22"/>
          <w:lang w:val="es-419"/>
        </w:rPr>
        <w:t>X%</w:t>
      </w:r>
      <w:r w:rsidRPr="00263493">
        <w:rPr>
          <w:rFonts w:cs="Arial"/>
          <w:sz w:val="22"/>
          <w:szCs w:val="22"/>
          <w:lang w:val="es-419"/>
        </w:rPr>
        <w:t xml:space="preserve"> de ingresos por intereses bancarios. </w:t>
      </w:r>
    </w:p>
    <w:p w:rsidR="0078174F" w:rsidRPr="00263493" w:rsidRDefault="0078174F" w:rsidP="00263493">
      <w:pPr>
        <w:pStyle w:val="Textoindependiente"/>
        <w:spacing w:after="0" w:line="276" w:lineRule="auto"/>
        <w:ind w:left="360"/>
        <w:jc w:val="both"/>
        <w:rPr>
          <w:rFonts w:ascii="Arial" w:hAnsi="Arial" w:cs="Arial"/>
          <w:sz w:val="22"/>
          <w:lang w:val="es-GT"/>
        </w:rPr>
      </w:pPr>
    </w:p>
    <w:p w:rsidR="00576702" w:rsidRPr="00263493" w:rsidRDefault="00F00AFF" w:rsidP="00263493">
      <w:pPr>
        <w:pStyle w:val="Textoindependiente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sz w:val="22"/>
          <w:lang w:val="es-GT"/>
        </w:rPr>
      </w:pPr>
      <w:r w:rsidRPr="00263493">
        <w:rPr>
          <w:rFonts w:ascii="Arial" w:hAnsi="Arial" w:cs="Arial"/>
          <w:b/>
          <w:sz w:val="22"/>
          <w:lang w:val="es-GT"/>
        </w:rPr>
        <w:lastRenderedPageBreak/>
        <w:t>Reconocimiento de ingresos</w:t>
      </w:r>
    </w:p>
    <w:p w:rsidR="0078174F" w:rsidRPr="00263493" w:rsidRDefault="00576702" w:rsidP="00263493">
      <w:pPr>
        <w:spacing w:line="276" w:lineRule="auto"/>
        <w:ind w:left="360"/>
        <w:jc w:val="both"/>
        <w:rPr>
          <w:rFonts w:ascii="Arial" w:hAnsi="Arial" w:cs="Arial"/>
          <w:sz w:val="22"/>
          <w:lang w:val="es-GT"/>
        </w:rPr>
      </w:pPr>
      <w:r w:rsidRPr="00263493">
        <w:rPr>
          <w:rFonts w:ascii="Arial" w:hAnsi="Arial" w:cs="Arial"/>
          <w:sz w:val="22"/>
          <w:lang w:val="es-GT"/>
        </w:rPr>
        <w:t>Los ingresos se registran cua</w:t>
      </w:r>
      <w:r w:rsidR="00F6652E" w:rsidRPr="00263493">
        <w:rPr>
          <w:rFonts w:ascii="Arial" w:hAnsi="Arial" w:cs="Arial"/>
          <w:sz w:val="22"/>
          <w:lang w:val="es-GT"/>
        </w:rPr>
        <w:t>ndo efectiva</w:t>
      </w:r>
      <w:r w:rsidR="0078174F" w:rsidRPr="00263493">
        <w:rPr>
          <w:rFonts w:ascii="Arial" w:hAnsi="Arial" w:cs="Arial"/>
          <w:sz w:val="22"/>
          <w:lang w:val="es-GT"/>
        </w:rPr>
        <w:t>mente son recibidos en efectivo, los ingresos más importantes del programa son los desembolsos del BID. Los tipos ingresos obtenidos del BID pueden tener la siguiente naturaleza</w:t>
      </w:r>
    </w:p>
    <w:p w:rsidR="0078174F" w:rsidRPr="00263493" w:rsidRDefault="0078174F" w:rsidP="00263493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cs="Arial"/>
          <w:sz w:val="22"/>
          <w:szCs w:val="22"/>
          <w:lang w:val="es-GT"/>
        </w:rPr>
      </w:pPr>
      <w:r w:rsidRPr="00263493">
        <w:rPr>
          <w:rFonts w:cs="Arial"/>
          <w:sz w:val="22"/>
          <w:szCs w:val="22"/>
          <w:lang w:val="es-GT"/>
        </w:rPr>
        <w:t>Anticipos de fondos; se realiza únicamente al inicio del programa para que puede operar durante la vida del Programa.</w:t>
      </w:r>
    </w:p>
    <w:p w:rsidR="0078174F" w:rsidRPr="00263493" w:rsidRDefault="0078174F" w:rsidP="00263493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cs="Arial"/>
          <w:sz w:val="22"/>
          <w:szCs w:val="22"/>
          <w:lang w:val="es-GT"/>
        </w:rPr>
      </w:pPr>
      <w:r w:rsidRPr="00263493">
        <w:rPr>
          <w:rFonts w:cs="Arial"/>
          <w:sz w:val="22"/>
          <w:szCs w:val="22"/>
          <w:lang w:val="es-GT"/>
        </w:rPr>
        <w:t>Reintegro de anticipo de fondos; es un desembolso destinado a reponer el efectivo que se ha utilizado para inversiones y gastos del programa, sirve para reintegrar el efectivo utilizado del anticipo de fondos.</w:t>
      </w:r>
    </w:p>
    <w:p w:rsidR="0078174F" w:rsidRPr="00263493" w:rsidRDefault="0078174F" w:rsidP="00263493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cs="Arial"/>
          <w:sz w:val="22"/>
          <w:szCs w:val="22"/>
          <w:lang w:val="es-GT"/>
        </w:rPr>
      </w:pPr>
      <w:r w:rsidRPr="00263493">
        <w:rPr>
          <w:rFonts w:cs="Arial"/>
          <w:sz w:val="22"/>
          <w:szCs w:val="22"/>
          <w:lang w:val="es-GT"/>
        </w:rPr>
        <w:t xml:space="preserve">Adelanto de fondos; es un desembolso realizado por el BID a solicitud del programa, contemplado cuando se van a efectuar pagos </w:t>
      </w:r>
      <w:proofErr w:type="gramStart"/>
      <w:r w:rsidRPr="00263493">
        <w:rPr>
          <w:rFonts w:cs="Arial"/>
          <w:sz w:val="22"/>
          <w:szCs w:val="22"/>
          <w:lang w:val="es-GT"/>
        </w:rPr>
        <w:t>mucho</w:t>
      </w:r>
      <w:proofErr w:type="gramEnd"/>
      <w:r w:rsidRPr="00263493">
        <w:rPr>
          <w:rFonts w:cs="Arial"/>
          <w:sz w:val="22"/>
          <w:szCs w:val="22"/>
          <w:lang w:val="es-GT"/>
        </w:rPr>
        <w:t xml:space="preserve"> mayores y la liquidez</w:t>
      </w:r>
      <w:r w:rsidR="00725160" w:rsidRPr="00263493">
        <w:rPr>
          <w:rFonts w:cs="Arial"/>
          <w:sz w:val="22"/>
          <w:szCs w:val="22"/>
          <w:lang w:val="es-GT"/>
        </w:rPr>
        <w:t xml:space="preserve"> del saldo de anticipo de fondos</w:t>
      </w:r>
      <w:r w:rsidRPr="00263493">
        <w:rPr>
          <w:rFonts w:cs="Arial"/>
          <w:sz w:val="22"/>
          <w:szCs w:val="22"/>
          <w:lang w:val="es-GT"/>
        </w:rPr>
        <w:t xml:space="preserve"> del programa no es suficiente</w:t>
      </w:r>
      <w:r w:rsidR="00725160" w:rsidRPr="00263493">
        <w:rPr>
          <w:rFonts w:cs="Arial"/>
          <w:sz w:val="22"/>
          <w:szCs w:val="22"/>
          <w:lang w:val="es-GT"/>
        </w:rPr>
        <w:t>.</w:t>
      </w:r>
    </w:p>
    <w:p w:rsidR="0078174F" w:rsidRPr="00263493" w:rsidRDefault="0078174F" w:rsidP="00263493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cs="Arial"/>
          <w:sz w:val="22"/>
          <w:szCs w:val="22"/>
          <w:lang w:val="es-GT"/>
        </w:rPr>
      </w:pPr>
      <w:r w:rsidRPr="00263493">
        <w:rPr>
          <w:rFonts w:cs="Arial"/>
          <w:sz w:val="22"/>
          <w:szCs w:val="22"/>
          <w:lang w:val="es-GT"/>
        </w:rPr>
        <w:t>Pago directo a proveedores</w:t>
      </w:r>
      <w:r w:rsidR="00725160" w:rsidRPr="00263493">
        <w:rPr>
          <w:rFonts w:cs="Arial"/>
          <w:sz w:val="22"/>
          <w:szCs w:val="22"/>
          <w:lang w:val="es-GT"/>
        </w:rPr>
        <w:t>; es un desembolso en el cual el BID paga directamente a los contratistas y proveedores del Programa.</w:t>
      </w:r>
    </w:p>
    <w:p w:rsidR="00576702" w:rsidRPr="00263493" w:rsidRDefault="00576702" w:rsidP="00263493">
      <w:pPr>
        <w:spacing w:line="276" w:lineRule="auto"/>
        <w:ind w:left="360"/>
        <w:jc w:val="both"/>
        <w:rPr>
          <w:rFonts w:ascii="Arial" w:hAnsi="Arial" w:cs="Arial"/>
          <w:sz w:val="22"/>
          <w:lang w:val="es-GT"/>
        </w:rPr>
      </w:pPr>
      <w:r w:rsidRPr="00263493">
        <w:rPr>
          <w:rFonts w:ascii="Arial" w:hAnsi="Arial" w:cs="Arial"/>
          <w:sz w:val="22"/>
          <w:lang w:val="es-GT"/>
        </w:rPr>
        <w:t xml:space="preserve">El proceso de reconocimiento de ingresos del Programa </w:t>
      </w:r>
      <w:r w:rsidR="0078174F" w:rsidRPr="00263493">
        <w:rPr>
          <w:rFonts w:ascii="Arial" w:hAnsi="Arial" w:cs="Arial"/>
          <w:sz w:val="22"/>
          <w:lang w:val="es-GT"/>
        </w:rPr>
        <w:t>se describe</w:t>
      </w:r>
      <w:r w:rsidRPr="00263493">
        <w:rPr>
          <w:rFonts w:ascii="Arial" w:hAnsi="Arial" w:cs="Arial"/>
          <w:sz w:val="22"/>
          <w:lang w:val="es-GT"/>
        </w:rPr>
        <w:t xml:space="preserve"> </w:t>
      </w:r>
      <w:r w:rsidR="00725160" w:rsidRPr="00263493">
        <w:rPr>
          <w:rFonts w:ascii="Arial" w:hAnsi="Arial" w:cs="Arial"/>
          <w:sz w:val="22"/>
          <w:lang w:val="es-GT"/>
        </w:rPr>
        <w:t>a través de la siguiente narrativa</w:t>
      </w:r>
      <w:r w:rsidR="00F31323" w:rsidRPr="00263493">
        <w:rPr>
          <w:rFonts w:ascii="Arial" w:hAnsi="Arial" w:cs="Arial"/>
          <w:sz w:val="22"/>
          <w:lang w:val="es-GT"/>
        </w:rPr>
        <w:t xml:space="preserve"> (ejemplo)</w:t>
      </w:r>
      <w:r w:rsidRPr="00263493">
        <w:rPr>
          <w:rFonts w:ascii="Arial" w:hAnsi="Arial" w:cs="Arial"/>
          <w:sz w:val="22"/>
          <w:lang w:val="es-GT"/>
        </w:rPr>
        <w:t>:</w:t>
      </w:r>
    </w:p>
    <w:bookmarkStart w:id="2" w:name="_MON_1460905853"/>
    <w:bookmarkEnd w:id="2"/>
    <w:p w:rsidR="00576702" w:rsidRPr="00263493" w:rsidRDefault="00263493" w:rsidP="00263493">
      <w:pPr>
        <w:spacing w:line="360" w:lineRule="auto"/>
        <w:jc w:val="both"/>
        <w:rPr>
          <w:rFonts w:ascii="Arial" w:hAnsi="Arial" w:cs="Arial"/>
          <w:sz w:val="22"/>
          <w:lang w:val="es-GT"/>
        </w:rPr>
      </w:pPr>
      <w:r w:rsidRPr="00263493">
        <w:rPr>
          <w:rFonts w:ascii="Arial" w:hAnsi="Arial" w:cs="Arial"/>
          <w:b/>
          <w:sz w:val="22"/>
        </w:rPr>
        <w:object w:dxaOrig="8350" w:dyaOrig="11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8pt;height:513.95pt" o:ole="">
            <v:imagedata r:id="rId8" o:title=""/>
          </v:shape>
          <o:OLEObject Type="Embed" ProgID="Excel.Sheet.12" ShapeID="_x0000_i1025" DrawAspect="Content" ObjectID="_1595654087" r:id="rId9"/>
        </w:object>
      </w:r>
    </w:p>
    <w:p w:rsidR="00845E1B" w:rsidRPr="00263493" w:rsidRDefault="00845E1B" w:rsidP="0078174F">
      <w:pPr>
        <w:spacing w:line="360" w:lineRule="auto"/>
        <w:ind w:left="360"/>
        <w:jc w:val="both"/>
        <w:rPr>
          <w:rFonts w:ascii="Arial" w:hAnsi="Arial" w:cs="Arial"/>
          <w:sz w:val="22"/>
          <w:lang w:val="es-GT"/>
        </w:rPr>
      </w:pPr>
    </w:p>
    <w:p w:rsidR="00347A8F" w:rsidRPr="00263493" w:rsidRDefault="00347A8F" w:rsidP="0078174F">
      <w:pPr>
        <w:spacing w:line="360" w:lineRule="auto"/>
        <w:ind w:left="360"/>
        <w:jc w:val="both"/>
        <w:rPr>
          <w:rFonts w:ascii="Arial" w:hAnsi="Arial" w:cs="Arial"/>
          <w:sz w:val="22"/>
          <w:lang w:val="es-GT"/>
        </w:rPr>
      </w:pPr>
    </w:p>
    <w:p w:rsidR="00576702" w:rsidRPr="00263493" w:rsidRDefault="00576702" w:rsidP="00263493">
      <w:pPr>
        <w:pStyle w:val="Textoindependiente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sz w:val="22"/>
          <w:lang w:val="es-GT"/>
        </w:rPr>
      </w:pPr>
      <w:r w:rsidRPr="00263493">
        <w:rPr>
          <w:rFonts w:ascii="Arial" w:hAnsi="Arial" w:cs="Arial"/>
          <w:b/>
          <w:sz w:val="22"/>
          <w:lang w:val="es-GT"/>
        </w:rPr>
        <w:t>Riesgo de fraude en el reconocimiento de Ingresos</w:t>
      </w:r>
    </w:p>
    <w:p w:rsidR="00576702" w:rsidRPr="00263493" w:rsidRDefault="00842563" w:rsidP="00263493">
      <w:pPr>
        <w:spacing w:line="276" w:lineRule="auto"/>
        <w:ind w:left="360"/>
        <w:jc w:val="both"/>
        <w:rPr>
          <w:rFonts w:ascii="Arial" w:hAnsi="Arial" w:cs="Arial"/>
          <w:sz w:val="22"/>
          <w:lang w:val="es-GT"/>
        </w:rPr>
      </w:pPr>
      <w:r w:rsidRPr="00263493">
        <w:rPr>
          <w:rFonts w:ascii="Arial" w:hAnsi="Arial" w:cs="Arial"/>
          <w:sz w:val="22"/>
          <w:lang w:val="es-GT"/>
        </w:rPr>
        <w:t>De acuerdo al análisis y entendimiento de los tipos y la naturaleza de los ingresos podemos concluir que el riesgo de fraude de reconocimiento de ingresos es normal</w:t>
      </w:r>
      <w:r w:rsidR="00A13256" w:rsidRPr="00263493">
        <w:rPr>
          <w:rFonts w:ascii="Arial" w:hAnsi="Arial" w:cs="Arial"/>
          <w:sz w:val="22"/>
          <w:lang w:val="es-GT"/>
        </w:rPr>
        <w:t>, basados en lo siguiente;</w:t>
      </w:r>
    </w:p>
    <w:p w:rsidR="00A13256" w:rsidRPr="00263493" w:rsidRDefault="00A13256" w:rsidP="00263493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="Arial"/>
          <w:sz w:val="22"/>
          <w:szCs w:val="22"/>
          <w:lang w:val="es-GT"/>
        </w:rPr>
      </w:pPr>
      <w:r w:rsidRPr="00263493">
        <w:rPr>
          <w:rFonts w:cs="Arial"/>
          <w:sz w:val="22"/>
          <w:szCs w:val="22"/>
          <w:lang w:val="es-GT"/>
        </w:rPr>
        <w:t>Los ingresos son percibidos en cantidades menores y es muy fácil identificarlos en un período determinado.</w:t>
      </w:r>
    </w:p>
    <w:p w:rsidR="00A13256" w:rsidRPr="00263493" w:rsidRDefault="00A13256" w:rsidP="00263493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="Arial"/>
          <w:sz w:val="22"/>
          <w:szCs w:val="22"/>
          <w:lang w:val="es-GT"/>
        </w:rPr>
      </w:pPr>
      <w:r w:rsidRPr="00263493">
        <w:rPr>
          <w:rFonts w:cs="Arial"/>
          <w:sz w:val="22"/>
          <w:szCs w:val="22"/>
          <w:lang w:val="es-GT"/>
        </w:rPr>
        <w:t>No existen descuento y rebajas los ingresos.</w:t>
      </w:r>
    </w:p>
    <w:p w:rsidR="00A13256" w:rsidRPr="00263493" w:rsidRDefault="00A13256" w:rsidP="00263493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="Arial"/>
          <w:sz w:val="22"/>
          <w:szCs w:val="22"/>
          <w:lang w:val="es-GT"/>
        </w:rPr>
      </w:pPr>
      <w:r w:rsidRPr="00263493">
        <w:rPr>
          <w:rFonts w:cs="Arial"/>
          <w:sz w:val="22"/>
          <w:szCs w:val="22"/>
          <w:lang w:val="es-GT"/>
        </w:rPr>
        <w:t>El registro contable de los ingresos no es complejo.</w:t>
      </w:r>
    </w:p>
    <w:p w:rsidR="00A13256" w:rsidRPr="00263493" w:rsidRDefault="00A13256" w:rsidP="00263493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="Arial"/>
          <w:sz w:val="22"/>
          <w:szCs w:val="22"/>
          <w:lang w:val="es-GT"/>
        </w:rPr>
      </w:pPr>
      <w:r w:rsidRPr="00263493">
        <w:rPr>
          <w:rFonts w:cs="Arial"/>
          <w:sz w:val="22"/>
          <w:szCs w:val="22"/>
          <w:lang w:val="es-GT"/>
        </w:rPr>
        <w:t>En caso existiera un error material sería fácil identificarlo.</w:t>
      </w:r>
    </w:p>
    <w:p w:rsidR="00950218" w:rsidRPr="00263493" w:rsidRDefault="00950218" w:rsidP="00263493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="Arial"/>
          <w:sz w:val="22"/>
          <w:szCs w:val="22"/>
          <w:lang w:val="es-GT"/>
        </w:rPr>
      </w:pPr>
      <w:r w:rsidRPr="00263493">
        <w:rPr>
          <w:rFonts w:cs="Arial"/>
          <w:sz w:val="22"/>
          <w:szCs w:val="22"/>
          <w:lang w:val="es-GT"/>
        </w:rPr>
        <w:t>No existe presión sobre la administración para reconocer ingresos.</w:t>
      </w:r>
    </w:p>
    <w:p w:rsidR="00950218" w:rsidRPr="00263493" w:rsidRDefault="00950218" w:rsidP="00263493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="Arial"/>
          <w:sz w:val="22"/>
          <w:szCs w:val="22"/>
          <w:lang w:val="es-GT"/>
        </w:rPr>
      </w:pPr>
      <w:r w:rsidRPr="00263493">
        <w:rPr>
          <w:rFonts w:cs="Arial"/>
          <w:sz w:val="22"/>
          <w:szCs w:val="22"/>
          <w:lang w:val="es-GT"/>
        </w:rPr>
        <w:t>Existen suficientes controles para el reconocimiento de ingresos.</w:t>
      </w:r>
    </w:p>
    <w:p w:rsidR="00576702" w:rsidRPr="00263493" w:rsidRDefault="00576702" w:rsidP="00263493">
      <w:pPr>
        <w:spacing w:line="276" w:lineRule="auto"/>
        <w:ind w:left="360"/>
        <w:jc w:val="both"/>
        <w:rPr>
          <w:rFonts w:ascii="Arial" w:hAnsi="Arial" w:cs="Arial"/>
          <w:sz w:val="22"/>
          <w:lang w:val="es-GT"/>
        </w:rPr>
      </w:pPr>
      <w:r w:rsidRPr="00263493">
        <w:rPr>
          <w:rFonts w:ascii="Arial" w:hAnsi="Arial" w:cs="Arial"/>
          <w:sz w:val="22"/>
          <w:lang w:val="es-GT"/>
        </w:rPr>
        <w:t>Tomando en consideración el entendim</w:t>
      </w:r>
      <w:r w:rsidR="00A13256" w:rsidRPr="00263493">
        <w:rPr>
          <w:rFonts w:ascii="Arial" w:hAnsi="Arial" w:cs="Arial"/>
          <w:sz w:val="22"/>
          <w:lang w:val="es-GT"/>
        </w:rPr>
        <w:t>iento del programa</w:t>
      </w:r>
      <w:r w:rsidRPr="00263493">
        <w:rPr>
          <w:rFonts w:ascii="Arial" w:hAnsi="Arial" w:cs="Arial"/>
          <w:sz w:val="22"/>
          <w:lang w:val="es-GT"/>
        </w:rPr>
        <w:t xml:space="preserve">, el equipo de auditoría ha identificado como riesgo </w:t>
      </w:r>
      <w:r w:rsidR="00A13256" w:rsidRPr="00263493">
        <w:rPr>
          <w:rFonts w:ascii="Arial" w:hAnsi="Arial" w:cs="Arial"/>
          <w:sz w:val="22"/>
          <w:lang w:val="es-GT"/>
        </w:rPr>
        <w:t>normal</w:t>
      </w:r>
      <w:r w:rsidRPr="00263493">
        <w:rPr>
          <w:rFonts w:ascii="Arial" w:hAnsi="Arial" w:cs="Arial"/>
          <w:sz w:val="22"/>
          <w:lang w:val="es-GT"/>
        </w:rPr>
        <w:t xml:space="preserve"> el reconocimiento de ingresos para la auditoría del año </w:t>
      </w:r>
      <w:r w:rsidR="00A13256" w:rsidRPr="00263493">
        <w:rPr>
          <w:rFonts w:ascii="Arial" w:hAnsi="Arial" w:cs="Arial"/>
          <w:sz w:val="22"/>
          <w:lang w:val="es-GT"/>
        </w:rPr>
        <w:t>XXXX</w:t>
      </w:r>
      <w:proofErr w:type="gramStart"/>
      <w:r w:rsidR="00A13256" w:rsidRPr="00263493">
        <w:rPr>
          <w:rFonts w:ascii="Arial" w:hAnsi="Arial" w:cs="Arial"/>
          <w:sz w:val="22"/>
          <w:lang w:val="es-GT"/>
        </w:rPr>
        <w:t>.</w:t>
      </w:r>
      <w:r w:rsidRPr="00263493">
        <w:rPr>
          <w:rFonts w:ascii="Arial" w:hAnsi="Arial" w:cs="Arial"/>
          <w:sz w:val="22"/>
          <w:lang w:val="es-GT"/>
        </w:rPr>
        <w:t>.</w:t>
      </w:r>
      <w:proofErr w:type="gramEnd"/>
      <w:r w:rsidRPr="00263493">
        <w:rPr>
          <w:rFonts w:ascii="Arial" w:hAnsi="Arial" w:cs="Arial"/>
          <w:sz w:val="22"/>
          <w:lang w:val="es-GT"/>
        </w:rPr>
        <w:t xml:space="preserve">  </w:t>
      </w:r>
    </w:p>
    <w:sectPr w:rsidR="00576702" w:rsidRPr="00263493" w:rsidSect="002634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552" w:right="1418" w:bottom="2268" w:left="2019" w:header="561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60" w:rsidRDefault="00E35A60" w:rsidP="00576702">
      <w:pPr>
        <w:spacing w:line="240" w:lineRule="auto"/>
      </w:pPr>
      <w:r>
        <w:separator/>
      </w:r>
    </w:p>
  </w:endnote>
  <w:endnote w:type="continuationSeparator" w:id="0">
    <w:p w:rsidR="00E35A60" w:rsidRDefault="00E35A60" w:rsidP="00576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05" w:rsidRDefault="00C6006D">
    <w:pPr>
      <w:pStyle w:val="Piedepgina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of </w:t>
    </w:r>
    <w:r w:rsidR="00E35A60">
      <w:fldChar w:fldCharType="begin"/>
    </w:r>
    <w:r w:rsidR="00E35A60">
      <w:instrText xml:space="preserve"> NUMPAGES  \* MERGEFORMAT </w:instrText>
    </w:r>
    <w:r w:rsidR="00E35A60">
      <w:fldChar w:fldCharType="separate"/>
    </w:r>
    <w:r w:rsidR="004E4C59">
      <w:rPr>
        <w:noProof/>
      </w:rPr>
      <w:t>4</w:t>
    </w:r>
    <w:r w:rsidR="00E35A6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D6" w:rsidRDefault="007C3AD6" w:rsidP="007C3AD6">
    <w:pPr>
      <w:pStyle w:val="Piedepgina"/>
      <w:tabs>
        <w:tab w:val="center" w:pos="7397"/>
        <w:tab w:val="right" w:pos="14794"/>
      </w:tabs>
      <w:jc w:val="both"/>
      <w:rPr>
        <w:sz w:val="16"/>
        <w:szCs w:val="16"/>
        <w:lang w:val="es-ES"/>
      </w:rPr>
    </w:pPr>
    <w:r w:rsidRPr="007C3AD6">
      <w:rPr>
        <w:sz w:val="16"/>
        <w:szCs w:val="16"/>
        <w:lang w:val="es-ES"/>
      </w:rPr>
      <w:t xml:space="preserve">Manual de auditoría de Estados Financieros de Propósito Especial para proyectos financiados </w:t>
    </w:r>
  </w:p>
  <w:p w:rsidR="00396705" w:rsidRDefault="007C3AD6" w:rsidP="007C3AD6">
    <w:pPr>
      <w:pStyle w:val="Piedepgina"/>
      <w:tabs>
        <w:tab w:val="center" w:pos="7397"/>
        <w:tab w:val="right" w:pos="14794"/>
      </w:tabs>
      <w:jc w:val="both"/>
    </w:pPr>
    <w:proofErr w:type="gramStart"/>
    <w:r w:rsidRPr="007C3AD6">
      <w:rPr>
        <w:sz w:val="16"/>
        <w:szCs w:val="16"/>
        <w:lang w:val="es-ES"/>
      </w:rPr>
      <w:t>por</w:t>
    </w:r>
    <w:proofErr w:type="gramEnd"/>
    <w:r w:rsidRPr="007C3AD6">
      <w:rPr>
        <w:sz w:val="16"/>
        <w:szCs w:val="16"/>
        <w:lang w:val="es-ES"/>
      </w:rPr>
      <w:t xml:space="preserve"> el Banco Interamericano de Desarrollo (BID)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D6" w:rsidRDefault="007C3AD6" w:rsidP="007C3AD6">
    <w:pPr>
      <w:pStyle w:val="Piedepgina"/>
      <w:tabs>
        <w:tab w:val="center" w:pos="7397"/>
        <w:tab w:val="right" w:pos="14794"/>
      </w:tabs>
      <w:jc w:val="both"/>
      <w:rPr>
        <w:sz w:val="16"/>
        <w:szCs w:val="16"/>
        <w:lang w:val="es-ES"/>
      </w:rPr>
    </w:pPr>
    <w:r w:rsidRPr="007C3AD6">
      <w:rPr>
        <w:sz w:val="16"/>
        <w:szCs w:val="16"/>
        <w:lang w:val="es-ES"/>
      </w:rPr>
      <w:t xml:space="preserve">Manual de auditoría de Estados Financieros de Propósito Especial para proyectos financiados </w:t>
    </w:r>
  </w:p>
  <w:p w:rsidR="00FC2E50" w:rsidRPr="007C3AD6" w:rsidRDefault="007C3AD6" w:rsidP="007C3AD6">
    <w:pPr>
      <w:pStyle w:val="Piedepgina"/>
      <w:tabs>
        <w:tab w:val="center" w:pos="7397"/>
        <w:tab w:val="right" w:pos="14794"/>
      </w:tabs>
      <w:jc w:val="both"/>
      <w:rPr>
        <w:sz w:val="16"/>
        <w:szCs w:val="16"/>
        <w:lang w:val="es-ES"/>
      </w:rPr>
    </w:pPr>
    <w:proofErr w:type="gramStart"/>
    <w:r w:rsidRPr="007C3AD6">
      <w:rPr>
        <w:sz w:val="16"/>
        <w:szCs w:val="16"/>
        <w:lang w:val="es-ES"/>
      </w:rPr>
      <w:t>por</w:t>
    </w:r>
    <w:proofErr w:type="gramEnd"/>
    <w:r w:rsidRPr="007C3AD6">
      <w:rPr>
        <w:sz w:val="16"/>
        <w:szCs w:val="16"/>
        <w:lang w:val="es-ES"/>
      </w:rPr>
      <w:t xml:space="preserve"> el Banco Interamericano de Desarrollo (BID)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60" w:rsidRDefault="00E35A60" w:rsidP="00576702">
      <w:pPr>
        <w:spacing w:line="240" w:lineRule="auto"/>
      </w:pPr>
      <w:r>
        <w:separator/>
      </w:r>
    </w:p>
  </w:footnote>
  <w:footnote w:type="continuationSeparator" w:id="0">
    <w:p w:rsidR="00E35A60" w:rsidRDefault="00E35A60" w:rsidP="005767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05" w:rsidRDefault="00C6006D">
    <w:pPr>
      <w:pStyle w:val="Encabezado"/>
    </w:pPr>
    <w:bookmarkStart w:id="3" w:name="EvenPageHeader"/>
    <w:bookmarkEnd w:id="3"/>
    <w:r>
      <w:rPr>
        <w:noProof/>
        <w:lang w:val="es-GT" w:eastAsia="es-GT"/>
      </w:rPr>
      <w:drawing>
        <wp:anchor distT="0" distB="0" distL="114300" distR="114300" simplePos="0" relativeHeight="251661312" behindDoc="0" locked="1" layoutInCell="1" allowOverlap="1" wp14:anchorId="4A3F4520" wp14:editId="784BCA8B">
          <wp:simplePos x="0" y="0"/>
          <wp:positionH relativeFrom="page">
            <wp:posOffset>-4445</wp:posOffset>
          </wp:positionH>
          <wp:positionV relativeFrom="page">
            <wp:posOffset>-19050</wp:posOffset>
          </wp:positionV>
          <wp:extent cx="1410335" cy="1268730"/>
          <wp:effectExtent l="0" t="0" r="0" b="0"/>
          <wp:wrapNone/>
          <wp:docPr id="3" name="first_pag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0335" cy="1268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6705" w:rsidRDefault="00E35A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05" w:rsidRDefault="00263493">
    <w:pPr>
      <w:pStyle w:val="Encabezado"/>
    </w:pPr>
    <w:r>
      <w:rPr>
        <w:rFonts w:ascii="Arial" w:hAnsi="Arial" w:cs="Arial"/>
        <w:b/>
        <w:noProof/>
        <w:sz w:val="40"/>
        <w:szCs w:val="40"/>
        <w:lang w:val="es-GT" w:eastAsia="es-GT"/>
      </w:rPr>
      <w:drawing>
        <wp:anchor distT="0" distB="0" distL="114300" distR="114300" simplePos="0" relativeHeight="251665408" behindDoc="1" locked="0" layoutInCell="1" allowOverlap="1" wp14:anchorId="0EA6223F" wp14:editId="167C8628">
          <wp:simplePos x="0" y="0"/>
          <wp:positionH relativeFrom="column">
            <wp:posOffset>-1284361</wp:posOffset>
          </wp:positionH>
          <wp:positionV relativeFrom="paragraph">
            <wp:posOffset>-358580</wp:posOffset>
          </wp:positionV>
          <wp:extent cx="7772400" cy="10058400"/>
          <wp:effectExtent l="0" t="0" r="0" b="0"/>
          <wp:wrapNone/>
          <wp:docPr id="5" name="Imagen 5" descr="GT nive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 nive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93" w:rsidRDefault="00263493" w:rsidP="00263493">
    <w:pPr>
      <w:pStyle w:val="Textoindependiente"/>
      <w:tabs>
        <w:tab w:val="center" w:pos="4561"/>
      </w:tabs>
      <w:spacing w:before="100" w:beforeAutospacing="1" w:after="100" w:afterAutospacing="1" w:line="240" w:lineRule="auto"/>
      <w:ind w:left="1560"/>
      <w:jc w:val="right"/>
      <w:rPr>
        <w:rFonts w:ascii="Arial" w:hAnsi="Arial" w:cs="Arial"/>
        <w:b/>
        <w:szCs w:val="20"/>
        <w:lang w:val="es-GT"/>
      </w:rPr>
    </w:pPr>
    <w:r>
      <w:rPr>
        <w:rFonts w:ascii="Arial" w:hAnsi="Arial" w:cs="Arial"/>
        <w:b/>
        <w:noProof/>
        <w:sz w:val="40"/>
        <w:szCs w:val="40"/>
        <w:lang w:val="es-GT" w:eastAsia="es-GT"/>
      </w:rPr>
      <w:drawing>
        <wp:anchor distT="0" distB="0" distL="114300" distR="114300" simplePos="0" relativeHeight="251663360" behindDoc="1" locked="0" layoutInCell="1" allowOverlap="1" wp14:anchorId="42337A02" wp14:editId="4BDC7186">
          <wp:simplePos x="0" y="0"/>
          <wp:positionH relativeFrom="column">
            <wp:posOffset>-1289099</wp:posOffset>
          </wp:positionH>
          <wp:positionV relativeFrom="paragraph">
            <wp:posOffset>-356235</wp:posOffset>
          </wp:positionV>
          <wp:extent cx="7772400" cy="10058400"/>
          <wp:effectExtent l="0" t="0" r="0" b="0"/>
          <wp:wrapNone/>
          <wp:docPr id="1" name="Imagen 1" descr="GT nive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 nive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3493" w:rsidRDefault="00263493" w:rsidP="00263493">
    <w:pPr>
      <w:pStyle w:val="Textoindependiente"/>
      <w:tabs>
        <w:tab w:val="center" w:pos="4561"/>
      </w:tabs>
      <w:spacing w:before="100" w:beforeAutospacing="1" w:after="100" w:afterAutospacing="1" w:line="240" w:lineRule="auto"/>
      <w:ind w:left="1560"/>
      <w:jc w:val="right"/>
      <w:rPr>
        <w:rFonts w:ascii="Arial" w:hAnsi="Arial" w:cs="Arial"/>
        <w:b/>
        <w:szCs w:val="20"/>
        <w:lang w:val="es-GT"/>
      </w:rPr>
    </w:pPr>
  </w:p>
  <w:p w:rsidR="00263493" w:rsidRDefault="00263493" w:rsidP="00263493">
    <w:pPr>
      <w:pStyle w:val="Textoindependiente"/>
      <w:tabs>
        <w:tab w:val="center" w:pos="4561"/>
      </w:tabs>
      <w:spacing w:before="100" w:beforeAutospacing="1" w:after="100" w:afterAutospacing="1" w:line="240" w:lineRule="auto"/>
      <w:ind w:left="1560"/>
      <w:jc w:val="right"/>
      <w:rPr>
        <w:rFonts w:ascii="Arial" w:hAnsi="Arial" w:cs="Arial"/>
        <w:b/>
        <w:szCs w:val="20"/>
        <w:lang w:val="es-GT"/>
      </w:rPr>
    </w:pPr>
  </w:p>
  <w:p w:rsidR="00477FBC" w:rsidRPr="00FC2E50" w:rsidRDefault="00FC2E50" w:rsidP="00FC2E50">
    <w:pPr>
      <w:pStyle w:val="Textoindependiente"/>
      <w:tabs>
        <w:tab w:val="center" w:pos="4561"/>
      </w:tabs>
      <w:spacing w:after="0" w:line="240" w:lineRule="auto"/>
      <w:ind w:left="1559"/>
      <w:jc w:val="right"/>
      <w:rPr>
        <w:rFonts w:ascii="Arial" w:hAnsi="Arial" w:cs="Arial"/>
        <w:sz w:val="16"/>
        <w:szCs w:val="16"/>
        <w:lang w:val="es-GT"/>
      </w:rPr>
    </w:pPr>
    <w:r w:rsidRPr="00FC2E50">
      <w:rPr>
        <w:rFonts w:ascii="Arial" w:hAnsi="Arial" w:cs="Arial"/>
        <w:sz w:val="16"/>
        <w:szCs w:val="16"/>
        <w:lang w:val="es-GT"/>
      </w:rPr>
      <w:t xml:space="preserve">Anexo 6 </w:t>
    </w:r>
    <w:r w:rsidR="00263493" w:rsidRPr="00FC2E50">
      <w:rPr>
        <w:rFonts w:ascii="Arial" w:hAnsi="Arial" w:cs="Arial"/>
        <w:sz w:val="16"/>
        <w:szCs w:val="16"/>
        <w:lang w:val="es-GT"/>
      </w:rPr>
      <w:t>M</w:t>
    </w:r>
    <w:r w:rsidR="00477FBC" w:rsidRPr="00FC2E50">
      <w:rPr>
        <w:rFonts w:ascii="Arial" w:hAnsi="Arial" w:cs="Arial"/>
        <w:sz w:val="16"/>
        <w:szCs w:val="16"/>
        <w:lang w:val="es-GT"/>
      </w:rPr>
      <w:t>emorándum de entendimiento de ingresos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0E"/>
    <w:multiLevelType w:val="multilevel"/>
    <w:tmpl w:val="A364A6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89A1383"/>
    <w:multiLevelType w:val="multilevel"/>
    <w:tmpl w:val="94E0D2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C60241E"/>
    <w:multiLevelType w:val="hybridMultilevel"/>
    <w:tmpl w:val="A9383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1CB"/>
    <w:multiLevelType w:val="hybridMultilevel"/>
    <w:tmpl w:val="AB38EED0"/>
    <w:lvl w:ilvl="0" w:tplc="72BC278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95F6E"/>
    <w:multiLevelType w:val="hybridMultilevel"/>
    <w:tmpl w:val="8B5850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37B47"/>
    <w:multiLevelType w:val="hybridMultilevel"/>
    <w:tmpl w:val="3AA65B6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B2FAF"/>
    <w:multiLevelType w:val="hybridMultilevel"/>
    <w:tmpl w:val="28C6AC5E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3E1EFD"/>
    <w:multiLevelType w:val="hybridMultilevel"/>
    <w:tmpl w:val="2124A482"/>
    <w:lvl w:ilvl="0" w:tplc="D25C9DA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7C1C77"/>
    <w:multiLevelType w:val="hybridMultilevel"/>
    <w:tmpl w:val="4D308F5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0F"/>
    <w:rsid w:val="000C1E05"/>
    <w:rsid w:val="00106823"/>
    <w:rsid w:val="001B22A3"/>
    <w:rsid w:val="001D0C93"/>
    <w:rsid w:val="0022385C"/>
    <w:rsid w:val="00263493"/>
    <w:rsid w:val="00347A8F"/>
    <w:rsid w:val="00362DE2"/>
    <w:rsid w:val="0038150D"/>
    <w:rsid w:val="003A4D1C"/>
    <w:rsid w:val="003B350F"/>
    <w:rsid w:val="00477FBC"/>
    <w:rsid w:val="004C4BB5"/>
    <w:rsid w:val="004E4C59"/>
    <w:rsid w:val="00576702"/>
    <w:rsid w:val="005A22B5"/>
    <w:rsid w:val="005B7450"/>
    <w:rsid w:val="0065683A"/>
    <w:rsid w:val="00725160"/>
    <w:rsid w:val="0078174F"/>
    <w:rsid w:val="007C3AD6"/>
    <w:rsid w:val="007E5849"/>
    <w:rsid w:val="00842563"/>
    <w:rsid w:val="00845E1B"/>
    <w:rsid w:val="008C2F59"/>
    <w:rsid w:val="008D04B6"/>
    <w:rsid w:val="00925311"/>
    <w:rsid w:val="00950218"/>
    <w:rsid w:val="00A13256"/>
    <w:rsid w:val="00A3281B"/>
    <w:rsid w:val="00A330A7"/>
    <w:rsid w:val="00AA5017"/>
    <w:rsid w:val="00B054B6"/>
    <w:rsid w:val="00BE74A9"/>
    <w:rsid w:val="00BE7FD1"/>
    <w:rsid w:val="00C6006D"/>
    <w:rsid w:val="00D0320D"/>
    <w:rsid w:val="00D11F73"/>
    <w:rsid w:val="00D2671D"/>
    <w:rsid w:val="00DB1AD0"/>
    <w:rsid w:val="00E35A60"/>
    <w:rsid w:val="00E5255A"/>
    <w:rsid w:val="00EB6CCB"/>
    <w:rsid w:val="00F00AFF"/>
    <w:rsid w:val="00F31208"/>
    <w:rsid w:val="00F31323"/>
    <w:rsid w:val="00F6652E"/>
    <w:rsid w:val="00F84505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02"/>
    <w:pPr>
      <w:spacing w:after="0" w:line="240" w:lineRule="atLeast"/>
    </w:pPr>
    <w:rPr>
      <w:rFonts w:ascii="Georgia" w:hAnsi="Georgia"/>
      <w:sz w:val="20"/>
      <w:lang w:val="en-GB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06823"/>
    <w:pPr>
      <w:widowControl w:val="0"/>
      <w:numPr>
        <w:numId w:val="2"/>
      </w:numPr>
      <w:spacing w:before="120" w:after="120" w:line="360" w:lineRule="auto"/>
      <w:outlineLvl w:val="0"/>
    </w:pPr>
    <w:rPr>
      <w:rFonts w:ascii="Arial" w:eastAsiaTheme="majorEastAsia" w:hAnsi="Arial" w:cstheme="majorBidi"/>
      <w:color w:val="7030A0"/>
      <w:sz w:val="32"/>
      <w:szCs w:val="32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6823"/>
    <w:rPr>
      <w:rFonts w:ascii="Arial" w:eastAsiaTheme="majorEastAsia" w:hAnsi="Arial" w:cstheme="majorBidi"/>
      <w:color w:val="7030A0"/>
      <w:sz w:val="32"/>
      <w:szCs w:val="32"/>
      <w:lang w:val="es-419"/>
    </w:rPr>
  </w:style>
  <w:style w:type="paragraph" w:styleId="TDC1">
    <w:name w:val="toc 1"/>
    <w:basedOn w:val="Normal"/>
    <w:next w:val="Normal"/>
    <w:autoRedefine/>
    <w:uiPriority w:val="39"/>
    <w:unhideWhenUsed/>
    <w:rsid w:val="004C4BB5"/>
    <w:pPr>
      <w:spacing w:after="100"/>
    </w:pPr>
    <w:rPr>
      <w:rFonts w:ascii="Arial" w:eastAsiaTheme="minorEastAsia" w:hAnsi="Arial" w:cs="Times New Roman"/>
      <w:sz w:val="24"/>
      <w:lang w:eastAsia="es-GT"/>
    </w:rPr>
  </w:style>
  <w:style w:type="paragraph" w:styleId="Encabezado">
    <w:name w:val="header"/>
    <w:basedOn w:val="Normal"/>
    <w:link w:val="EncabezadoCar"/>
    <w:unhideWhenUsed/>
    <w:rsid w:val="00576702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76702"/>
    <w:rPr>
      <w:rFonts w:ascii="Georgia" w:hAnsi="Georgia"/>
      <w:sz w:val="20"/>
      <w:lang w:val="en-GB"/>
    </w:rPr>
  </w:style>
  <w:style w:type="paragraph" w:styleId="Piedepgina">
    <w:name w:val="footer"/>
    <w:aliases w:val="|| Footer"/>
    <w:basedOn w:val="Normal"/>
    <w:link w:val="PiedepginaCar"/>
    <w:uiPriority w:val="99"/>
    <w:unhideWhenUsed/>
    <w:rsid w:val="00576702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aliases w:val="|| Footer Car"/>
    <w:basedOn w:val="Fuentedeprrafopredeter"/>
    <w:link w:val="Piedepgina"/>
    <w:uiPriority w:val="99"/>
    <w:rsid w:val="00576702"/>
    <w:rPr>
      <w:rFonts w:ascii="Georgia" w:hAnsi="Georgia"/>
      <w:sz w:val="20"/>
      <w:lang w:val="en-GB"/>
    </w:rPr>
  </w:style>
  <w:style w:type="paragraph" w:styleId="Textoindependiente">
    <w:name w:val="Body Text"/>
    <w:basedOn w:val="Normal"/>
    <w:link w:val="TextoindependienteCar"/>
    <w:uiPriority w:val="99"/>
    <w:unhideWhenUsed/>
    <w:rsid w:val="00576702"/>
    <w:p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6702"/>
    <w:rPr>
      <w:rFonts w:ascii="Georgia" w:hAnsi="Georgia"/>
      <w:sz w:val="20"/>
      <w:lang w:val="en-GB"/>
    </w:rPr>
  </w:style>
  <w:style w:type="paragraph" w:styleId="Prrafodelista">
    <w:name w:val="List Paragraph"/>
    <w:basedOn w:val="Normal"/>
    <w:uiPriority w:val="34"/>
    <w:qFormat/>
    <w:rsid w:val="00576702"/>
    <w:pPr>
      <w:spacing w:after="290" w:line="29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576702"/>
  </w:style>
  <w:style w:type="table" w:styleId="Tablaconcuadrcula">
    <w:name w:val="Table Grid"/>
    <w:basedOn w:val="Tablanormal"/>
    <w:uiPriority w:val="39"/>
    <w:rsid w:val="00477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0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01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02"/>
    <w:pPr>
      <w:spacing w:after="0" w:line="240" w:lineRule="atLeast"/>
    </w:pPr>
    <w:rPr>
      <w:rFonts w:ascii="Georgia" w:hAnsi="Georgia"/>
      <w:sz w:val="20"/>
      <w:lang w:val="en-GB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06823"/>
    <w:pPr>
      <w:widowControl w:val="0"/>
      <w:numPr>
        <w:numId w:val="2"/>
      </w:numPr>
      <w:spacing w:before="120" w:after="120" w:line="360" w:lineRule="auto"/>
      <w:outlineLvl w:val="0"/>
    </w:pPr>
    <w:rPr>
      <w:rFonts w:ascii="Arial" w:eastAsiaTheme="majorEastAsia" w:hAnsi="Arial" w:cstheme="majorBidi"/>
      <w:color w:val="7030A0"/>
      <w:sz w:val="32"/>
      <w:szCs w:val="32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6823"/>
    <w:rPr>
      <w:rFonts w:ascii="Arial" w:eastAsiaTheme="majorEastAsia" w:hAnsi="Arial" w:cstheme="majorBidi"/>
      <w:color w:val="7030A0"/>
      <w:sz w:val="32"/>
      <w:szCs w:val="32"/>
      <w:lang w:val="es-419"/>
    </w:rPr>
  </w:style>
  <w:style w:type="paragraph" w:styleId="TDC1">
    <w:name w:val="toc 1"/>
    <w:basedOn w:val="Normal"/>
    <w:next w:val="Normal"/>
    <w:autoRedefine/>
    <w:uiPriority w:val="39"/>
    <w:unhideWhenUsed/>
    <w:rsid w:val="004C4BB5"/>
    <w:pPr>
      <w:spacing w:after="100"/>
    </w:pPr>
    <w:rPr>
      <w:rFonts w:ascii="Arial" w:eastAsiaTheme="minorEastAsia" w:hAnsi="Arial" w:cs="Times New Roman"/>
      <w:sz w:val="24"/>
      <w:lang w:eastAsia="es-GT"/>
    </w:rPr>
  </w:style>
  <w:style w:type="paragraph" w:styleId="Encabezado">
    <w:name w:val="header"/>
    <w:basedOn w:val="Normal"/>
    <w:link w:val="EncabezadoCar"/>
    <w:unhideWhenUsed/>
    <w:rsid w:val="00576702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76702"/>
    <w:rPr>
      <w:rFonts w:ascii="Georgia" w:hAnsi="Georgia"/>
      <w:sz w:val="20"/>
      <w:lang w:val="en-GB"/>
    </w:rPr>
  </w:style>
  <w:style w:type="paragraph" w:styleId="Piedepgina">
    <w:name w:val="footer"/>
    <w:aliases w:val="|| Footer"/>
    <w:basedOn w:val="Normal"/>
    <w:link w:val="PiedepginaCar"/>
    <w:uiPriority w:val="99"/>
    <w:unhideWhenUsed/>
    <w:rsid w:val="00576702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aliases w:val="|| Footer Car"/>
    <w:basedOn w:val="Fuentedeprrafopredeter"/>
    <w:link w:val="Piedepgina"/>
    <w:uiPriority w:val="99"/>
    <w:rsid w:val="00576702"/>
    <w:rPr>
      <w:rFonts w:ascii="Georgia" w:hAnsi="Georgia"/>
      <w:sz w:val="20"/>
      <w:lang w:val="en-GB"/>
    </w:rPr>
  </w:style>
  <w:style w:type="paragraph" w:styleId="Textoindependiente">
    <w:name w:val="Body Text"/>
    <w:basedOn w:val="Normal"/>
    <w:link w:val="TextoindependienteCar"/>
    <w:uiPriority w:val="99"/>
    <w:unhideWhenUsed/>
    <w:rsid w:val="00576702"/>
    <w:p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6702"/>
    <w:rPr>
      <w:rFonts w:ascii="Georgia" w:hAnsi="Georgia"/>
      <w:sz w:val="20"/>
      <w:lang w:val="en-GB"/>
    </w:rPr>
  </w:style>
  <w:style w:type="paragraph" w:styleId="Prrafodelista">
    <w:name w:val="List Paragraph"/>
    <w:basedOn w:val="Normal"/>
    <w:uiPriority w:val="34"/>
    <w:qFormat/>
    <w:rsid w:val="00576702"/>
    <w:pPr>
      <w:spacing w:after="290" w:line="290" w:lineRule="atLeast"/>
      <w:ind w:left="720"/>
      <w:contextualSpacing/>
    </w:pPr>
    <w:rPr>
      <w:rFonts w:ascii="Arial" w:eastAsia="Times New Roman" w:hAnsi="Arial" w:cs="Times New Roman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576702"/>
  </w:style>
  <w:style w:type="table" w:styleId="Tablaconcuadrcula">
    <w:name w:val="Table Grid"/>
    <w:basedOn w:val="Tablanormal"/>
    <w:uiPriority w:val="39"/>
    <w:rsid w:val="00477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0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01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Edgar Oswaldo Cerna Larrazábal</cp:lastModifiedBy>
  <cp:revision>8</cp:revision>
  <cp:lastPrinted>2018-08-13T14:27:00Z</cp:lastPrinted>
  <dcterms:created xsi:type="dcterms:W3CDTF">2017-10-09T23:45:00Z</dcterms:created>
  <dcterms:modified xsi:type="dcterms:W3CDTF">2018-08-13T14:28:00Z</dcterms:modified>
</cp:coreProperties>
</file>