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D84B6A">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D84B6A">
              <w:rPr>
                <w:b/>
                <w:bCs/>
                <w:sz w:val="20"/>
                <w:szCs w:val="20"/>
              </w:rPr>
              <w:t>AGOSTO</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MANTENIMIENTO PREVENTIVO TRIMESTRAL PARA EL SISTEMA DE BOMBEO DE LOS EDIFICIOS DE LA CONTRALORÍA GENERAL DE CUENTAS ZONA 1, Y ZONA 2, MANTENIMIENTO PREVENTIVO TRIMESTRAL PARA EL SISTEMA DE BOMBEO Y POZO MECANICO DEL EDIFICIO DE ZONA 13 DE LA CONTRALORÍA GENERAL DE CUENTAS 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C3197F">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r w:rsidR="00C83B2B" w:rsidRPr="00BE1161" w:rsidTr="0062308C">
        <w:trPr>
          <w:trHeight w:val="761"/>
        </w:trPr>
        <w:tc>
          <w:tcPr>
            <w:tcW w:w="1242" w:type="dxa"/>
            <w:noWrap/>
            <w:hideMark/>
          </w:tcPr>
          <w:p w:rsidR="00C83B2B" w:rsidRDefault="00C83B2B" w:rsidP="00BE1161">
            <w:pPr>
              <w:spacing w:after="0" w:line="240" w:lineRule="auto"/>
              <w:jc w:val="both"/>
              <w:rPr>
                <w:sz w:val="20"/>
                <w:szCs w:val="20"/>
              </w:rPr>
            </w:pPr>
            <w:r>
              <w:rPr>
                <w:sz w:val="20"/>
                <w:szCs w:val="20"/>
              </w:rPr>
              <w:t>64439852</w:t>
            </w:r>
          </w:p>
        </w:tc>
        <w:tc>
          <w:tcPr>
            <w:tcW w:w="1701" w:type="dxa"/>
            <w:hideMark/>
          </w:tcPr>
          <w:p w:rsidR="00C83B2B" w:rsidRDefault="00C83B2B" w:rsidP="00BE1161">
            <w:pPr>
              <w:spacing w:after="0" w:line="240" w:lineRule="auto"/>
              <w:jc w:val="both"/>
              <w:rPr>
                <w:sz w:val="20"/>
                <w:szCs w:val="20"/>
              </w:rPr>
            </w:pPr>
            <w:r>
              <w:rPr>
                <w:sz w:val="20"/>
                <w:szCs w:val="20"/>
              </w:rPr>
              <w:t>COMPRA DIRECTA</w:t>
            </w:r>
          </w:p>
        </w:tc>
        <w:tc>
          <w:tcPr>
            <w:tcW w:w="5421" w:type="dxa"/>
            <w:hideMark/>
          </w:tcPr>
          <w:p w:rsidR="00C83B2B" w:rsidRDefault="00C83B2B" w:rsidP="00BE1161">
            <w:pPr>
              <w:spacing w:after="0" w:line="240" w:lineRule="auto"/>
              <w:jc w:val="both"/>
              <w:rPr>
                <w:sz w:val="20"/>
                <w:szCs w:val="20"/>
              </w:rPr>
            </w:pPr>
            <w:r>
              <w:rPr>
                <w:sz w:val="20"/>
                <w:szCs w:val="20"/>
              </w:rPr>
              <w:t>ADQUISICIÓN DE SERVICIO DE ENLACE SECUNDARIO DE INTERNET PARA LA CONTRALORÍA GENERAL DE CUENTAS PARA EL PERÍODO DE MAYO A AGOSTO DE DOSMIL VEINTE</w:t>
            </w:r>
          </w:p>
        </w:tc>
        <w:tc>
          <w:tcPr>
            <w:tcW w:w="2410" w:type="dxa"/>
            <w:noWrap/>
            <w:hideMark/>
          </w:tcPr>
          <w:p w:rsidR="00C83B2B" w:rsidRDefault="00C83B2B" w:rsidP="00BE1161">
            <w:pPr>
              <w:spacing w:after="0" w:line="240" w:lineRule="auto"/>
              <w:jc w:val="both"/>
              <w:rPr>
                <w:sz w:val="20"/>
                <w:szCs w:val="20"/>
              </w:rPr>
            </w:pPr>
            <w:r>
              <w:rPr>
                <w:sz w:val="20"/>
                <w:szCs w:val="20"/>
              </w:rPr>
              <w:t>INNOVA OUTSOURCING,SOCIEDAD ANÓNIMA</w:t>
            </w:r>
          </w:p>
        </w:tc>
        <w:tc>
          <w:tcPr>
            <w:tcW w:w="1417" w:type="dxa"/>
            <w:noWrap/>
            <w:hideMark/>
          </w:tcPr>
          <w:p w:rsidR="00C83B2B" w:rsidRDefault="00C83B2B" w:rsidP="00BE1161">
            <w:pPr>
              <w:spacing w:after="0" w:line="240" w:lineRule="auto"/>
              <w:jc w:val="both"/>
              <w:rPr>
                <w:sz w:val="20"/>
                <w:szCs w:val="20"/>
              </w:rPr>
            </w:pPr>
            <w:r>
              <w:rPr>
                <w:sz w:val="20"/>
                <w:szCs w:val="20"/>
              </w:rPr>
              <w:t>Q.89,200.00</w:t>
            </w:r>
          </w:p>
        </w:tc>
        <w:tc>
          <w:tcPr>
            <w:tcW w:w="1701" w:type="dxa"/>
          </w:tcPr>
          <w:p w:rsidR="00C83B2B" w:rsidRDefault="00C83B2B" w:rsidP="00904607">
            <w:pPr>
              <w:spacing w:after="0" w:line="240" w:lineRule="auto"/>
              <w:jc w:val="both"/>
              <w:rPr>
                <w:sz w:val="20"/>
                <w:szCs w:val="20"/>
              </w:rPr>
            </w:pPr>
            <w:r>
              <w:rPr>
                <w:sz w:val="20"/>
                <w:szCs w:val="20"/>
              </w:rPr>
              <w:t>4 MESES</w:t>
            </w:r>
          </w:p>
        </w:tc>
        <w:tc>
          <w:tcPr>
            <w:tcW w:w="1985" w:type="dxa"/>
            <w:noWrap/>
            <w:hideMark/>
          </w:tcPr>
          <w:p w:rsidR="00C83B2B" w:rsidRDefault="00C83B2B" w:rsidP="00EF6A73">
            <w:pPr>
              <w:spacing w:after="0" w:line="240" w:lineRule="auto"/>
              <w:jc w:val="both"/>
              <w:rPr>
                <w:sz w:val="20"/>
                <w:szCs w:val="20"/>
              </w:rPr>
            </w:pPr>
            <w:r>
              <w:rPr>
                <w:sz w:val="20"/>
                <w:szCs w:val="20"/>
              </w:rPr>
              <w:t>ACTA-DA-13-2020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lastRenderedPageBreak/>
              <w:t>9929290</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ADQUISICIÓN DE SERVICIO DE ENLACE PRINCIPAL  DE INTERNET PARA LA CONTRALORÍA GENERAL DE CUENTAS DEL PERÍODO DE DOS (2) MESES</w:t>
            </w:r>
          </w:p>
        </w:tc>
        <w:tc>
          <w:tcPr>
            <w:tcW w:w="2410" w:type="dxa"/>
            <w:noWrap/>
            <w:hideMark/>
          </w:tcPr>
          <w:p w:rsidR="0005547D" w:rsidRDefault="0005547D"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5547D" w:rsidRDefault="0005547D" w:rsidP="00BE1161">
            <w:pPr>
              <w:spacing w:after="0" w:line="240" w:lineRule="auto"/>
              <w:jc w:val="both"/>
              <w:rPr>
                <w:sz w:val="20"/>
                <w:szCs w:val="20"/>
              </w:rPr>
            </w:pPr>
            <w:r>
              <w:rPr>
                <w:sz w:val="20"/>
                <w:szCs w:val="20"/>
              </w:rPr>
              <w:t>Q.89,970.00</w:t>
            </w:r>
          </w:p>
        </w:tc>
        <w:tc>
          <w:tcPr>
            <w:tcW w:w="1701" w:type="dxa"/>
          </w:tcPr>
          <w:p w:rsidR="0005547D" w:rsidRDefault="0005547D" w:rsidP="00904607">
            <w:pPr>
              <w:spacing w:after="0" w:line="240" w:lineRule="auto"/>
              <w:jc w:val="both"/>
              <w:rPr>
                <w:sz w:val="20"/>
                <w:szCs w:val="20"/>
              </w:rPr>
            </w:pPr>
            <w:r>
              <w:rPr>
                <w:sz w:val="20"/>
                <w:szCs w:val="20"/>
              </w:rPr>
              <w:t>2 MESES</w:t>
            </w:r>
          </w:p>
        </w:tc>
        <w:tc>
          <w:tcPr>
            <w:tcW w:w="1985" w:type="dxa"/>
            <w:noWrap/>
            <w:hideMark/>
          </w:tcPr>
          <w:p w:rsidR="0005547D" w:rsidRDefault="0005547D" w:rsidP="00EF6A73">
            <w:pPr>
              <w:spacing w:after="0" w:line="240" w:lineRule="auto"/>
              <w:jc w:val="both"/>
              <w:rPr>
                <w:sz w:val="20"/>
                <w:szCs w:val="20"/>
              </w:rPr>
            </w:pPr>
            <w:r>
              <w:rPr>
                <w:sz w:val="20"/>
                <w:szCs w:val="20"/>
              </w:rPr>
              <w:t>ACTA-DA-14-2020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5498104</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SERVICIO DE TELEFONÍA MÓVIL PARA LA CONTRALORÍA GENERAL DE CUENTAS DEL DIEZ (10) DE JUNIO AL NUEVE (09) DE SEPTIEMBRE DE DOS MIL VEINTE</w:t>
            </w:r>
          </w:p>
        </w:tc>
        <w:tc>
          <w:tcPr>
            <w:tcW w:w="2410" w:type="dxa"/>
            <w:noWrap/>
            <w:hideMark/>
          </w:tcPr>
          <w:p w:rsidR="0005547D" w:rsidRDefault="00DB467D" w:rsidP="00BE1161">
            <w:pPr>
              <w:spacing w:after="0" w:line="240" w:lineRule="auto"/>
              <w:jc w:val="both"/>
              <w:rPr>
                <w:sz w:val="20"/>
                <w:szCs w:val="20"/>
              </w:rPr>
            </w:pPr>
            <w:r>
              <w:rPr>
                <w:sz w:val="20"/>
                <w:szCs w:val="20"/>
              </w:rPr>
              <w:t>COMUNICACIONES CELULARES, SOCIEDAD ANÓNIMA</w:t>
            </w:r>
          </w:p>
        </w:tc>
        <w:tc>
          <w:tcPr>
            <w:tcW w:w="1417" w:type="dxa"/>
            <w:noWrap/>
            <w:hideMark/>
          </w:tcPr>
          <w:p w:rsidR="0005547D" w:rsidRDefault="00DB467D" w:rsidP="00BE1161">
            <w:pPr>
              <w:spacing w:after="0" w:line="240" w:lineRule="auto"/>
              <w:jc w:val="both"/>
              <w:rPr>
                <w:sz w:val="20"/>
                <w:szCs w:val="20"/>
              </w:rPr>
            </w:pPr>
            <w:r>
              <w:rPr>
                <w:sz w:val="20"/>
                <w:szCs w:val="20"/>
              </w:rPr>
              <w:t>Q.63,117.00</w:t>
            </w:r>
          </w:p>
        </w:tc>
        <w:tc>
          <w:tcPr>
            <w:tcW w:w="1701" w:type="dxa"/>
          </w:tcPr>
          <w:p w:rsidR="0005547D" w:rsidRDefault="00DB467D" w:rsidP="00904607">
            <w:pPr>
              <w:spacing w:after="0" w:line="240" w:lineRule="auto"/>
              <w:jc w:val="both"/>
              <w:rPr>
                <w:sz w:val="20"/>
                <w:szCs w:val="20"/>
              </w:rPr>
            </w:pPr>
            <w:r>
              <w:rPr>
                <w:sz w:val="20"/>
                <w:szCs w:val="20"/>
              </w:rPr>
              <w:t>3  MESES</w:t>
            </w:r>
          </w:p>
        </w:tc>
        <w:tc>
          <w:tcPr>
            <w:tcW w:w="1985" w:type="dxa"/>
            <w:noWrap/>
            <w:hideMark/>
          </w:tcPr>
          <w:p w:rsidR="0005547D" w:rsidRDefault="00DB467D" w:rsidP="00EF6A73">
            <w:pPr>
              <w:spacing w:after="0" w:line="240" w:lineRule="auto"/>
              <w:jc w:val="both"/>
              <w:rPr>
                <w:sz w:val="20"/>
                <w:szCs w:val="20"/>
              </w:rPr>
            </w:pPr>
            <w:r>
              <w:rPr>
                <w:sz w:val="20"/>
                <w:szCs w:val="20"/>
              </w:rPr>
              <w:t>ACTA-DA-16-2020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B2" w:rsidRDefault="008723B2" w:rsidP="00B911DE">
      <w:pPr>
        <w:spacing w:after="0" w:line="240" w:lineRule="auto"/>
      </w:pPr>
      <w:r>
        <w:separator/>
      </w:r>
    </w:p>
  </w:endnote>
  <w:endnote w:type="continuationSeparator" w:id="1">
    <w:p w:rsidR="008723B2" w:rsidRDefault="008723B2"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161AAD">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B2" w:rsidRDefault="008723B2" w:rsidP="00B911DE">
      <w:pPr>
        <w:spacing w:after="0" w:line="240" w:lineRule="auto"/>
      </w:pPr>
      <w:r>
        <w:separator/>
      </w:r>
    </w:p>
  </w:footnote>
  <w:footnote w:type="continuationSeparator" w:id="1">
    <w:p w:rsidR="008723B2" w:rsidRDefault="008723B2"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161AAD">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30F98"/>
    <w:rsid w:val="000319FE"/>
    <w:rsid w:val="00035143"/>
    <w:rsid w:val="00037354"/>
    <w:rsid w:val="00040973"/>
    <w:rsid w:val="00045965"/>
    <w:rsid w:val="00050A9E"/>
    <w:rsid w:val="000521C2"/>
    <w:rsid w:val="0005547D"/>
    <w:rsid w:val="000615B2"/>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1AAD"/>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708C"/>
    <w:rsid w:val="002E0BBE"/>
    <w:rsid w:val="002E5FEB"/>
    <w:rsid w:val="002E6C10"/>
    <w:rsid w:val="002F2E0A"/>
    <w:rsid w:val="00300AFD"/>
    <w:rsid w:val="003030F4"/>
    <w:rsid w:val="00305CA8"/>
    <w:rsid w:val="00321FDA"/>
    <w:rsid w:val="00322EB9"/>
    <w:rsid w:val="00336216"/>
    <w:rsid w:val="00350BBB"/>
    <w:rsid w:val="00350EC1"/>
    <w:rsid w:val="00352E53"/>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76726"/>
    <w:rsid w:val="0078072C"/>
    <w:rsid w:val="007B3F1C"/>
    <w:rsid w:val="007B4309"/>
    <w:rsid w:val="007B7E89"/>
    <w:rsid w:val="007C1CBB"/>
    <w:rsid w:val="007C5BD3"/>
    <w:rsid w:val="007D74BD"/>
    <w:rsid w:val="0081136F"/>
    <w:rsid w:val="00835BC1"/>
    <w:rsid w:val="0083679C"/>
    <w:rsid w:val="00843F0B"/>
    <w:rsid w:val="008456D0"/>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C1DCA"/>
    <w:rsid w:val="00CD60EA"/>
    <w:rsid w:val="00CE2AE4"/>
    <w:rsid w:val="00CF3FBA"/>
    <w:rsid w:val="00CF526D"/>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8A54-C214-4FCF-A353-F5A794F0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2020-09-17T16:09:00Z</cp:lastPrinted>
  <dcterms:created xsi:type="dcterms:W3CDTF">2021-05-26T19:48:00Z</dcterms:created>
  <dcterms:modified xsi:type="dcterms:W3CDTF">2021-05-26T19:48:00Z</dcterms:modified>
</cp:coreProperties>
</file>