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bookmarkStart w:id="0" w:name="_GoBack"/>
      <w:bookmarkEnd w:id="0"/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VIAJES INTERNACIONALES FINANCIADOS CON FONDOS PÚBLICOS</w:t>
      </w:r>
    </w:p>
    <w:p w:rsidR="00BA019F" w:rsidRPr="00BA019F" w:rsidRDefault="00793642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DEL 01 AL 30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</w:t>
      </w:r>
      <w:r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NOVIEMBRE</w:t>
      </w:r>
      <w:r w:rsidR="00BA019F"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2021</w:t>
      </w:r>
    </w:p>
    <w:p w:rsidR="00BA019F" w:rsidRPr="003710D7" w:rsidRDefault="00BA019F" w:rsidP="00BA019F">
      <w:pPr>
        <w:spacing w:after="0" w:line="312" w:lineRule="auto"/>
        <w:jc w:val="center"/>
        <w:rPr>
          <w:rFonts w:ascii="Franklin Gothic Book" w:hAnsi="Franklin Gothic Book" w:cs="Segoe UI"/>
          <w:b/>
          <w:sz w:val="24"/>
          <w:szCs w:val="24"/>
        </w:rPr>
      </w:pPr>
    </w:p>
    <w:tbl>
      <w:tblPr>
        <w:tblStyle w:val="Tabladecuadrcula1clara-nfasis1"/>
        <w:tblW w:w="14586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268"/>
        <w:gridCol w:w="1317"/>
        <w:gridCol w:w="3078"/>
        <w:gridCol w:w="1417"/>
        <w:gridCol w:w="1559"/>
        <w:gridCol w:w="1599"/>
        <w:gridCol w:w="1662"/>
      </w:tblGrid>
      <w:tr w:rsidR="002E10E9" w:rsidRPr="00C21C5E" w:rsidTr="009B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1954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DESTINO</w:t>
            </w:r>
          </w:p>
        </w:tc>
        <w:tc>
          <w:tcPr>
            <w:tcW w:w="2268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OBJETIVO</w:t>
            </w:r>
          </w:p>
        </w:tc>
        <w:tc>
          <w:tcPr>
            <w:tcW w:w="13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FECHAS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PARTICIPANTES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Reconocimiento de Gastos</w:t>
            </w:r>
            <w:r w:rsidRPr="00C21C5E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3"/>
            </w:r>
          </w:p>
        </w:tc>
      </w:tr>
      <w:tr w:rsidR="002E10E9" w:rsidRPr="00C21C5E" w:rsidTr="009B1D7C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Lima, Perú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Visita Técnica a la Escuela Nacional de Control y Área de Comunicación de la Contraloría General de la República del Perú.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793642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10 al 12 de noviembre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793642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M.Sc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. Bernardino Rosales Méndez, </w:t>
            </w:r>
            <w:proofErr w:type="spellStart"/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Subcontralor</w:t>
            </w:r>
            <w:proofErr w:type="spellEnd"/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 Administrativo.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US$ 1,258.41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M.A. Etty Saraí Castro Chilel,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Directora de Formación y Capacitación en Fiscalización y de Control Gubernamental. </w:t>
            </w: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US$ 1,258.41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E10E9" w:rsidRPr="00C21C5E" w:rsidRDefault="002E10E9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M.Sc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.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Delmy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Siomara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Izaguirre Luna,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Subdirectora de Comunicación.</w:t>
            </w: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US$ 1,258.41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Ing. José María Vásquez Tello,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Director de Tecnologías de la Información y Comunicación.</w:t>
            </w:r>
          </w:p>
          <w:p w:rsidR="00C21C5E" w:rsidRDefault="00C21C5E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  <w:p w:rsidR="00C21C5E" w:rsidRDefault="00C21C5E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  <w:p w:rsidR="00C21C5E" w:rsidRPr="00C21C5E" w:rsidRDefault="00C21C5E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US$ 1,258.41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Ciudad de México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Experiencias y buenas prácticas de la Contraloría General de Cuentas de Guatemala sobre el tema de Fiscalización en la Pandemia.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15 al 17 de noviembre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Dr. Edwin Humberto Salazar Jerez,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Contralor General de Cuentas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Licda. Wendy Maribel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Zeceña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Nájera,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Jefe del Departamento de Atención a Denuncias. 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 aéreo y Viáticos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US$ 1,150.00</w:t>
            </w:r>
          </w:p>
        </w:tc>
        <w:tc>
          <w:tcPr>
            <w:tcW w:w="159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Lima, Perú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Visita Técnica de Estudio a la Contraloría General de la República del Perú, con el fin de conocer experiencias y buenas prácticas del Control Concurrente.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17 al 19 de noviembre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Dr. José Alberto Ramírez Crespín, </w:t>
            </w:r>
            <w:proofErr w:type="spellStart"/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Subcontralor</w:t>
            </w:r>
            <w:proofErr w:type="spellEnd"/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 de Calidad de Gasto Público.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M.A. Francisco Javier Valenzuela Sepúlveda,</w:t>
            </w:r>
          </w:p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Coordinador de Asesoría Especifica del Órgano Consultor y Asesor Técnico y Profesional.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3E4D9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Lic. Carlos Estuardo Rodas Ordoñez, </w:t>
            </w:r>
          </w:p>
          <w:p w:rsidR="002E10E9" w:rsidRPr="00C21C5E" w:rsidRDefault="002E10E9" w:rsidP="003E4D9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Supervisor Gubernamental de la Dirección de Aseguramiento de la Calidad de la Auditoría.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4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Ing.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Jóse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Roberto Enrique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Roquel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Coxaj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, </w:t>
            </w:r>
          </w:p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Analista de Seguridad de la Dirección de Tecnologías de la Información y Comunicación. 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US$ 1,575.00</w:t>
            </w:r>
          </w:p>
        </w:tc>
        <w:tc>
          <w:tcPr>
            <w:tcW w:w="1662" w:type="dxa"/>
            <w:tcBorders>
              <w:top w:val="single" w:sz="4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2" w:space="0" w:color="2E74B5" w:themeColor="accent1" w:themeShade="BF"/>
              <w:left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Bogotá, Colombia</w:t>
            </w:r>
          </w:p>
        </w:tc>
        <w:tc>
          <w:tcPr>
            <w:tcW w:w="2268" w:type="dxa"/>
            <w:vMerge w:val="restart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Visita Técnica de Estudio a la Contraloría General de la República de Colombia, para intercambio de experiencias sobre manejo de Data Center.</w:t>
            </w:r>
          </w:p>
        </w:tc>
        <w:tc>
          <w:tcPr>
            <w:tcW w:w="1317" w:type="dxa"/>
            <w:vMerge w:val="restart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18 y 19 de noviembre de 2021</w:t>
            </w: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Sr.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Kwong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Yih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Joel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Fock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Way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,</w:t>
            </w:r>
          </w:p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Coordinador de la Dirección de Tecnologías de la Información y Comunicación. </w:t>
            </w:r>
          </w:p>
        </w:tc>
        <w:tc>
          <w:tcPr>
            <w:tcW w:w="1417" w:type="dxa"/>
            <w:vMerge w:val="restart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US$ 1,185.69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2E10E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Sr. César Augusto Fuentes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Laines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,</w:t>
            </w:r>
          </w:p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Técnico de Soporte Informático de la Dirección de Tecnologías de la Información y Comunicación.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US$ 1,185.69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Ciudad de México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471F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Visita Técnica de intercambio de experiencias y buenas prácticas sobre la Comunicación.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22 y 23 de noviembre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Sra. Wendy Elizabeth Gutiérrez Pérez,</w:t>
            </w:r>
          </w:p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Asistente Profesional de la Dirección de Cooperación y Relaciones Interinstitucionales.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US$ 1,154.27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US$ 1,225.00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1954D1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Sr. René Alejandro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Tang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Herrera,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Asistente Profesional de la Dirección de Comunicación. 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Lic. Axel Lorenzo Santizo Marroquín, </w:t>
            </w:r>
          </w:p>
          <w:p w:rsidR="002E10E9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Analista III de la Dirección de Comunicación. </w:t>
            </w:r>
          </w:p>
          <w:p w:rsidR="00C21C5E" w:rsidRPr="00C21C5E" w:rsidRDefault="00C21C5E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US$ 1,274.75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US$ 1,225.00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Cartagena de Indias, Colombia</w:t>
            </w:r>
          </w:p>
        </w:tc>
        <w:tc>
          <w:tcPr>
            <w:tcW w:w="2268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Reunión Anual del Comité de Creación de Capacidades (CCC), de la Organización Latinoamericana y del Caribe de Entidades Fiscalizadoras Superiores (OLACEFS)</w:t>
            </w:r>
          </w:p>
        </w:tc>
        <w:tc>
          <w:tcPr>
            <w:tcW w:w="13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29 y 30 de noviembre de 2021</w:t>
            </w:r>
          </w:p>
        </w:tc>
        <w:tc>
          <w:tcPr>
            <w:tcW w:w="3078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M.Sc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.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Layla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Licel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Montes Figueroa,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 xml:space="preserve"> Directora Administrativa. 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US$ 837.64</w:t>
            </w:r>
          </w:p>
        </w:tc>
        <w:tc>
          <w:tcPr>
            <w:tcW w:w="1599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  <w:tc>
          <w:tcPr>
            <w:tcW w:w="166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Licda. Lourdes Gabriela López Mazariegos,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Asesora del Despacho.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US$ 837.64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2E10E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Licda. Nidia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Yvette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Jordán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Rossal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Analista del Despacho Superior.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US$ 837.64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  <w:tr w:rsidR="002E10E9" w:rsidRPr="00C21C5E" w:rsidTr="009B1D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3078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Licda. Irma Joanne </w:t>
            </w:r>
            <w:proofErr w:type="spellStart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Crooks</w:t>
            </w:r>
            <w:proofErr w:type="spellEnd"/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 xml:space="preserve"> Vásquez, </w:t>
            </w: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Analista de Administración de la Dirección de Cooperación y Relaciones Interinstitucionales.</w:t>
            </w:r>
          </w:p>
        </w:tc>
        <w:tc>
          <w:tcPr>
            <w:tcW w:w="1417" w:type="dxa"/>
            <w:vMerge/>
            <w:tcBorders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US$ 901.68</w:t>
            </w:r>
          </w:p>
        </w:tc>
        <w:tc>
          <w:tcPr>
            <w:tcW w:w="1599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2E10E9" w:rsidRPr="00C21C5E" w:rsidRDefault="002E10E9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  <w:tc>
          <w:tcPr>
            <w:tcW w:w="166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2E10E9" w:rsidRPr="00C21C5E" w:rsidRDefault="002E10E9" w:rsidP="00C21C5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C21C5E">
              <w:rPr>
                <w:rFonts w:ascii="Franklin Gothic Book" w:hAnsi="Franklin Gothic Book" w:cs="Segoe UI"/>
                <w:b/>
                <w:sz w:val="21"/>
                <w:szCs w:val="21"/>
              </w:rPr>
              <w:t>---------------------</w:t>
            </w:r>
          </w:p>
        </w:tc>
      </w:tr>
    </w:tbl>
    <w:p w:rsidR="008113DB" w:rsidRPr="009563E8" w:rsidRDefault="003E7564" w:rsidP="00FF2BE2">
      <w:pPr>
        <w:tabs>
          <w:tab w:val="left" w:pos="3710"/>
        </w:tabs>
      </w:pPr>
    </w:p>
    <w:sectPr w:rsidR="008113DB" w:rsidRPr="009563E8" w:rsidSect="00FF2BE2">
      <w:headerReference w:type="default" r:id="rId7"/>
      <w:footerReference w:type="default" r:id="rId8"/>
      <w:pgSz w:w="15840" w:h="12240" w:orient="landscape"/>
      <w:pgMar w:top="2127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B8" w:rsidRDefault="002E4EB8" w:rsidP="009563E8">
      <w:pPr>
        <w:spacing w:after="0" w:line="240" w:lineRule="auto"/>
      </w:pPr>
      <w:r>
        <w:separator/>
      </w:r>
    </w:p>
  </w:endnote>
  <w:endnote w:type="continuationSeparator" w:id="0">
    <w:p w:rsidR="002E4EB8" w:rsidRDefault="002E4EB8" w:rsidP="009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3E7564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8.15pt;width:826.5pt;height:66.7pt;z-index:-251659265;mso-position-horizontal-relative:text;mso-position-vertical-relative:text">
          <v:imagedata r:id="rId1" o:title="hoja membretada 2021-0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B8" w:rsidRDefault="002E4EB8" w:rsidP="009563E8">
      <w:pPr>
        <w:spacing w:after="0" w:line="240" w:lineRule="auto"/>
      </w:pPr>
      <w:r>
        <w:separator/>
      </w:r>
    </w:p>
  </w:footnote>
  <w:footnote w:type="continuationSeparator" w:id="0">
    <w:p w:rsidR="002E4EB8" w:rsidRDefault="002E4EB8" w:rsidP="009563E8">
      <w:pPr>
        <w:spacing w:after="0" w:line="240" w:lineRule="auto"/>
      </w:pPr>
      <w:r>
        <w:continuationSeparator/>
      </w:r>
    </w:p>
  </w:footnote>
  <w:footnote w:id="1">
    <w:p w:rsidR="002E10E9" w:rsidRDefault="002E10E9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E10E9" w:rsidRDefault="002E10E9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E10E9" w:rsidRDefault="002E10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21C5E">
        <w:t>Fuente Dirección Financiera</w:t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  <w:r w:rsidR="009B1D7C"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3E756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8.45pt;margin-top:7.7pt;width:220.8pt;height:56.95pt;z-index:-251656192;mso-position-horizontal-relative:text;mso-position-vertical-relative:text">
          <v:imagedata r:id="rId1" o:title="hoja membretada 2021-03"/>
        </v:shape>
      </w:pict>
    </w:r>
    <w:r w:rsidR="00BA019F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873D7C5" wp14:editId="3F297C34">
          <wp:simplePos x="0" y="0"/>
          <wp:positionH relativeFrom="page">
            <wp:posOffset>1</wp:posOffset>
          </wp:positionH>
          <wp:positionV relativeFrom="paragraph">
            <wp:posOffset>-449580</wp:posOffset>
          </wp:positionV>
          <wp:extent cx="10052022" cy="1329055"/>
          <wp:effectExtent l="0" t="0" r="6985" b="0"/>
          <wp:wrapNone/>
          <wp:docPr id="26" name="Imagen 26" descr="C:\Users\maramirezd\AppData\Local\Microsoft\Windows\INetCache\Content.Word\hoja membretada 202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mirezd\AppData\Local\Microsoft\Windows\INetCache\Content.Word\hoja membretada 202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22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0675CD"/>
    <w:rsid w:val="00073F33"/>
    <w:rsid w:val="00081203"/>
    <w:rsid w:val="000C60E2"/>
    <w:rsid w:val="000E35A4"/>
    <w:rsid w:val="000E5931"/>
    <w:rsid w:val="000F5D7E"/>
    <w:rsid w:val="00132DBF"/>
    <w:rsid w:val="001954D1"/>
    <w:rsid w:val="001C7918"/>
    <w:rsid w:val="001F1B46"/>
    <w:rsid w:val="00206F29"/>
    <w:rsid w:val="002E10E9"/>
    <w:rsid w:val="002E4EB8"/>
    <w:rsid w:val="003E4D9C"/>
    <w:rsid w:val="003E7564"/>
    <w:rsid w:val="00471F9B"/>
    <w:rsid w:val="005027AA"/>
    <w:rsid w:val="00533E44"/>
    <w:rsid w:val="005E0B27"/>
    <w:rsid w:val="00693A60"/>
    <w:rsid w:val="00793642"/>
    <w:rsid w:val="00875552"/>
    <w:rsid w:val="008C1BB8"/>
    <w:rsid w:val="008D3D6D"/>
    <w:rsid w:val="009563E8"/>
    <w:rsid w:val="00962237"/>
    <w:rsid w:val="009B1D7C"/>
    <w:rsid w:val="00AC1D4B"/>
    <w:rsid w:val="00B10019"/>
    <w:rsid w:val="00B36962"/>
    <w:rsid w:val="00B46301"/>
    <w:rsid w:val="00BA019F"/>
    <w:rsid w:val="00BB1A0F"/>
    <w:rsid w:val="00BB75CB"/>
    <w:rsid w:val="00C02251"/>
    <w:rsid w:val="00C21C5E"/>
    <w:rsid w:val="00C443C3"/>
    <w:rsid w:val="00D17D85"/>
    <w:rsid w:val="00D9043C"/>
    <w:rsid w:val="00DB3E25"/>
    <w:rsid w:val="00DD3FF1"/>
    <w:rsid w:val="00DF7A86"/>
    <w:rsid w:val="00E97B95"/>
    <w:rsid w:val="00EE19B1"/>
    <w:rsid w:val="00EE2D3B"/>
    <w:rsid w:val="00F36D00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088F6E28-61AB-4C64-94BD-2DA564A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9F"/>
    <w:pPr>
      <w:spacing w:after="200" w:line="27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63E8"/>
  </w:style>
  <w:style w:type="paragraph" w:styleId="Piedepgina">
    <w:name w:val="footer"/>
    <w:basedOn w:val="Normal"/>
    <w:link w:val="Piedepgina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63E8"/>
  </w:style>
  <w:style w:type="paragraph" w:styleId="Textonotapie">
    <w:name w:val="footnote text"/>
    <w:basedOn w:val="Normal"/>
    <w:link w:val="TextonotapieCar"/>
    <w:uiPriority w:val="99"/>
    <w:semiHidden/>
    <w:unhideWhenUsed/>
    <w:rsid w:val="00BA0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19F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BA019F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BA0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7AA"/>
    <w:rPr>
      <w:rFonts w:ascii="Segoe UI" w:eastAsiaTheme="minorEastAsia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C85B-CBAB-47C5-8DF0-74BCDF63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Marta Elena Chew Mendieta</cp:lastModifiedBy>
  <cp:revision>2</cp:revision>
  <cp:lastPrinted>2021-12-07T15:53:00Z</cp:lastPrinted>
  <dcterms:created xsi:type="dcterms:W3CDTF">2021-12-09T19:17:00Z</dcterms:created>
  <dcterms:modified xsi:type="dcterms:W3CDTF">2021-12-09T19:17:00Z</dcterms:modified>
</cp:coreProperties>
</file>