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78"/>
        <w:gridCol w:w="2433"/>
        <w:gridCol w:w="1252"/>
        <w:gridCol w:w="2545"/>
        <w:gridCol w:w="1708"/>
        <w:gridCol w:w="1559"/>
        <w:gridCol w:w="1559"/>
        <w:gridCol w:w="1701"/>
      </w:tblGrid>
      <w:tr w:rsidR="002F5C4C" w:rsidRPr="006259E5" w:rsidTr="0020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bookmarkStart w:id="0" w:name="_GoBack"/>
            <w:bookmarkEnd w:id="0"/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DESTINO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OBJETIVO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FECHAS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PARTICIPANTES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BOLETOS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VIÁTICOS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Reconocimiento de Gastos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3"/>
            </w:r>
          </w:p>
        </w:tc>
      </w:tr>
      <w:tr w:rsidR="00A36707" w:rsidRPr="006259E5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center"/>
              <w:rPr>
                <w:rFonts w:ascii="Franklin Gothic Book" w:hAnsi="Franklin Gothic Book" w:cs="Segoe UI"/>
                <w:bCs w:val="0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 w:val="0"/>
                <w:sz w:val="18"/>
                <w:szCs w:val="20"/>
                <w:lang w:val="es-GT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San José, Costa Rica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Taller de consolidación de estrategias de comunicación anticorrupción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06 al 08 de septiembre de 2023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707" w:rsidRPr="006259E5" w:rsidRDefault="005B5666" w:rsidP="005B5666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 xml:space="preserve">Doctor </w:t>
            </w:r>
            <w:proofErr w:type="spellStart"/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>Caryl</w:t>
            </w:r>
            <w:proofErr w:type="spellEnd"/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 xml:space="preserve"> Alonso,</w:t>
            </w:r>
            <w:r w:rsidR="00A36707"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Asesor del Despacho. </w:t>
            </w:r>
            <w:r w:rsidR="00A36707"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Boleto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A36707" w:rsidP="005B566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386.94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707" w:rsidRPr="006259E5" w:rsidRDefault="00A36707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  <w:tr w:rsidR="00A36707" w:rsidRPr="006259E5" w:rsidTr="005D2A2D">
        <w:trPr>
          <w:trHeight w:val="1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A36707" w:rsidRPr="006259E5" w:rsidRDefault="00A36707" w:rsidP="005D2A2D">
            <w:pPr>
              <w:spacing w:line="312" w:lineRule="auto"/>
              <w:jc w:val="center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A36707" w:rsidRPr="006259E5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A36707" w:rsidRPr="006259E5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A36707" w:rsidRPr="006259E5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A36707" w:rsidRPr="006259E5" w:rsidRDefault="005B5666" w:rsidP="005B566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>Magister Mónica Monge</w:t>
            </w:r>
            <w:r w:rsidR="00A36707" w:rsidRPr="006259E5"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 xml:space="preserve">,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Asesor Específico del Órgano Consultor y Asesor Técnico y Profesional. </w:t>
            </w:r>
          </w:p>
        </w:tc>
        <w:tc>
          <w:tcPr>
            <w:tcW w:w="1708" w:type="dxa"/>
            <w:shd w:val="clear" w:color="auto" w:fill="FFFFFF" w:themeFill="background1"/>
          </w:tcPr>
          <w:p w:rsidR="00A36707" w:rsidRDefault="00A36707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  <w:p w:rsidR="005B5666" w:rsidRPr="006259E5" w:rsidRDefault="005B5666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Boleto y Viáticos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6707" w:rsidRPr="006259E5" w:rsidRDefault="00A36707" w:rsidP="003A6D0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3A6D0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393.24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6707" w:rsidRPr="006259E5" w:rsidRDefault="005B5666" w:rsidP="005B566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1,050.00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36707" w:rsidRPr="006259E5" w:rsidRDefault="005B5666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  <w:tr w:rsidR="005B6886" w:rsidRPr="006259E5" w:rsidTr="005B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shd w:val="clear" w:color="auto" w:fill="FFFFFF" w:themeFill="background1"/>
            <w:vAlign w:val="center"/>
          </w:tcPr>
          <w:p w:rsidR="005B6886" w:rsidRPr="006259E5" w:rsidRDefault="005B5666" w:rsidP="005B6886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 w:val="0"/>
                <w:sz w:val="18"/>
                <w:szCs w:val="20"/>
                <w:lang w:val="es-GT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  <w:vAlign w:val="center"/>
          </w:tcPr>
          <w:p w:rsidR="005B6886" w:rsidRPr="006259E5" w:rsidRDefault="005B5666" w:rsidP="006259E5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Ciudad de México </w:t>
            </w:r>
          </w:p>
        </w:tc>
        <w:tc>
          <w:tcPr>
            <w:tcW w:w="2433" w:type="dxa"/>
            <w:vMerge w:val="restart"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Reunión Presencial Interinstitucional entre la Contraloría General de Cuentas de la República de Guatemala y el Tribunal Superior de Cuentas de la República de Honduras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15 y 16 de diciembre de 2022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B6886" w:rsidRPr="006259E5" w:rsidRDefault="005B5666" w:rsidP="005B56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 xml:space="preserve">Magister Sergio Rolando Aragón </w:t>
            </w:r>
            <w:proofErr w:type="spellStart"/>
            <w:r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>Secaida</w:t>
            </w:r>
            <w:proofErr w:type="spellEnd"/>
            <w:r w:rsidR="005B6886" w:rsidRPr="006259E5"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  <w:t xml:space="preserve">, </w:t>
            </w:r>
            <w:r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  <w:t xml:space="preserve">Director de Formación y Capacitación en Fiscalización y de Control Gubernamental. 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B6886" w:rsidRPr="006259E5" w:rsidRDefault="005B6886" w:rsidP="003A5CB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B</w:t>
            </w:r>
            <w:r w:rsid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oletos y V</w:t>
            </w: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iáticos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6886" w:rsidRPr="006259E5" w:rsidRDefault="005B6886" w:rsidP="003A6D0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3A6D0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906.24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6886" w:rsidRPr="006259E5" w:rsidRDefault="000F77D8" w:rsidP="005B566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1,575.00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  <w:tr w:rsidR="005B6886" w:rsidRPr="006259E5" w:rsidTr="006259E5">
        <w:trPr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5B6886" w:rsidRPr="006259E5" w:rsidRDefault="005B6886" w:rsidP="005B6886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18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B6886" w:rsidRPr="006259E5" w:rsidRDefault="005B6886" w:rsidP="005B56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 xml:space="preserve">Magíster </w:t>
            </w:r>
            <w:r w:rsidR="005B5666"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 xml:space="preserve">Linda María </w:t>
            </w:r>
            <w:proofErr w:type="spellStart"/>
            <w:r w:rsidR="005B5666"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>Galvan</w:t>
            </w:r>
            <w:proofErr w:type="spellEnd"/>
            <w:r w:rsidR="005B5666">
              <w:rPr>
                <w:rFonts w:ascii="Franklin Gothic Book" w:hAnsi="Franklin Gothic Book" w:cs="Calibri"/>
                <w:b/>
                <w:bCs/>
                <w:sz w:val="18"/>
                <w:szCs w:val="20"/>
                <w:lang w:val="es-GT"/>
              </w:rPr>
              <w:t xml:space="preserve"> Carranza</w:t>
            </w:r>
            <w:r w:rsidRPr="006259E5"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  <w:t xml:space="preserve">, </w:t>
            </w:r>
            <w:r w:rsidR="005B5666">
              <w:rPr>
                <w:rFonts w:ascii="Franklin Gothic Book" w:hAnsi="Franklin Gothic Book" w:cs="Calibri"/>
                <w:bCs/>
                <w:sz w:val="18"/>
                <w:szCs w:val="20"/>
                <w:lang w:val="es-GT"/>
              </w:rPr>
              <w:t>Directora de Auditoría de Desempeño.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B6886" w:rsidRPr="006259E5" w:rsidRDefault="005B5666" w:rsidP="005B688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B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oletos y V</w:t>
            </w: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iáticos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6886" w:rsidRPr="006259E5" w:rsidRDefault="005B6886" w:rsidP="003A6D0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3A6D0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906.24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6886" w:rsidRPr="006259E5" w:rsidRDefault="005B5666" w:rsidP="000F77D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5B5666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US$ 1,575.00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886" w:rsidRPr="006259E5" w:rsidRDefault="005B6886" w:rsidP="005B688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</w:tbl>
    <w:p w:rsidR="001D67C8" w:rsidRPr="002F5C4C" w:rsidRDefault="001D082B" w:rsidP="002F5C4C">
      <w:r>
        <w:rPr>
          <w:rFonts w:ascii="Franklin Gothic Book" w:hAnsi="Franklin Gothic Book" w:cs="Segoe UI"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7478C" wp14:editId="3A70BF52">
                <wp:simplePos x="0" y="0"/>
                <wp:positionH relativeFrom="margin">
                  <wp:align>right</wp:align>
                </wp:positionH>
                <wp:positionV relativeFrom="paragraph">
                  <wp:posOffset>651890</wp:posOffset>
                </wp:positionV>
                <wp:extent cx="985520" cy="355600"/>
                <wp:effectExtent l="0" t="0" r="24130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82B" w:rsidRPr="001D082B" w:rsidRDefault="005B6886" w:rsidP="001D082B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Página 1 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478C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26.4pt;margin-top:51.35pt;width:77.6pt;height:2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" filled="f" strokecolor="white [3212]" strokeweight="1pt">
                <v:textbox>
                  <w:txbxContent>
                    <w:p w:rsidR="001D082B" w:rsidRPr="001D082B" w:rsidRDefault="005B6886" w:rsidP="001D082B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Página 1 de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BF" w:rsidRDefault="00BF1EBF" w:rsidP="009D1821">
      <w:pPr>
        <w:spacing w:after="0" w:line="240" w:lineRule="auto"/>
      </w:pPr>
      <w:r>
        <w:separator/>
      </w:r>
    </w:p>
  </w:endnote>
  <w:endnote w:type="continuationSeparator" w:id="0">
    <w:p w:rsidR="00BF1EBF" w:rsidRDefault="00BF1EBF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BF" w:rsidRDefault="00BF1EBF" w:rsidP="009D1821">
      <w:pPr>
        <w:spacing w:after="0" w:line="240" w:lineRule="auto"/>
      </w:pPr>
      <w:r>
        <w:separator/>
      </w:r>
    </w:p>
  </w:footnote>
  <w:footnote w:type="continuationSeparator" w:id="0">
    <w:p w:rsidR="00BF1EBF" w:rsidRDefault="00BF1EBF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5666">
      <w:rPr>
        <w:rFonts w:ascii="Franklin Gothic Book" w:hAnsi="Franklin Gothic Book" w:cs="Segoe UI"/>
        <w:b/>
        <w:i/>
        <w:color w:val="002060"/>
        <w:sz w:val="28"/>
        <w:szCs w:val="24"/>
      </w:rPr>
      <w:t>30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5B5666">
      <w:rPr>
        <w:rFonts w:ascii="Franklin Gothic Book" w:hAnsi="Franklin Gothic Book" w:cs="Segoe UI"/>
        <w:b/>
        <w:i/>
        <w:color w:val="002060"/>
        <w:sz w:val="28"/>
        <w:szCs w:val="24"/>
      </w:rPr>
      <w:t>SEPTIEMBRE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21A46"/>
    <w:rsid w:val="002263C3"/>
    <w:rsid w:val="00234C63"/>
    <w:rsid w:val="0029616B"/>
    <w:rsid w:val="002B4748"/>
    <w:rsid w:val="002B5AC4"/>
    <w:rsid w:val="002C3420"/>
    <w:rsid w:val="002F5C4C"/>
    <w:rsid w:val="00312ABF"/>
    <w:rsid w:val="003160AE"/>
    <w:rsid w:val="00335E52"/>
    <w:rsid w:val="003913E0"/>
    <w:rsid w:val="003A5CB6"/>
    <w:rsid w:val="003A6D06"/>
    <w:rsid w:val="003A6F44"/>
    <w:rsid w:val="003C74B1"/>
    <w:rsid w:val="003E0E04"/>
    <w:rsid w:val="003E45EC"/>
    <w:rsid w:val="003F607D"/>
    <w:rsid w:val="003F6B6D"/>
    <w:rsid w:val="00401C15"/>
    <w:rsid w:val="00420F33"/>
    <w:rsid w:val="00444784"/>
    <w:rsid w:val="00467F44"/>
    <w:rsid w:val="00470613"/>
    <w:rsid w:val="0048420B"/>
    <w:rsid w:val="004D6AC4"/>
    <w:rsid w:val="00506378"/>
    <w:rsid w:val="00520F0C"/>
    <w:rsid w:val="005213C1"/>
    <w:rsid w:val="00571432"/>
    <w:rsid w:val="00592207"/>
    <w:rsid w:val="005B5666"/>
    <w:rsid w:val="005B6886"/>
    <w:rsid w:val="005F1D06"/>
    <w:rsid w:val="00601FCF"/>
    <w:rsid w:val="006259E5"/>
    <w:rsid w:val="006472DD"/>
    <w:rsid w:val="006D7950"/>
    <w:rsid w:val="006E7109"/>
    <w:rsid w:val="006F02E9"/>
    <w:rsid w:val="006F69BC"/>
    <w:rsid w:val="00732193"/>
    <w:rsid w:val="00751A53"/>
    <w:rsid w:val="0078071C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412BB"/>
    <w:rsid w:val="0095552F"/>
    <w:rsid w:val="009C72C8"/>
    <w:rsid w:val="009D1821"/>
    <w:rsid w:val="00A1091A"/>
    <w:rsid w:val="00A33EEC"/>
    <w:rsid w:val="00A36707"/>
    <w:rsid w:val="00A9309D"/>
    <w:rsid w:val="00A97246"/>
    <w:rsid w:val="00AB24AD"/>
    <w:rsid w:val="00AE7004"/>
    <w:rsid w:val="00B14769"/>
    <w:rsid w:val="00B2143B"/>
    <w:rsid w:val="00B360B1"/>
    <w:rsid w:val="00B513CC"/>
    <w:rsid w:val="00BB362C"/>
    <w:rsid w:val="00BD789B"/>
    <w:rsid w:val="00BE74D9"/>
    <w:rsid w:val="00BF1EBF"/>
    <w:rsid w:val="00BF477A"/>
    <w:rsid w:val="00C019A2"/>
    <w:rsid w:val="00C04E96"/>
    <w:rsid w:val="00C504D9"/>
    <w:rsid w:val="00CE1CB1"/>
    <w:rsid w:val="00CE6BCB"/>
    <w:rsid w:val="00D32AD6"/>
    <w:rsid w:val="00D3325D"/>
    <w:rsid w:val="00D529F7"/>
    <w:rsid w:val="00DD0621"/>
    <w:rsid w:val="00E1178F"/>
    <w:rsid w:val="00E11FA3"/>
    <w:rsid w:val="00E26AEB"/>
    <w:rsid w:val="00E53139"/>
    <w:rsid w:val="00E82E2E"/>
    <w:rsid w:val="00F34883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186F-378B-4434-9723-DB2F0AA4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2023-01-06T19:59:00Z</cp:lastPrinted>
  <dcterms:created xsi:type="dcterms:W3CDTF">2023-10-10T16:42:00Z</dcterms:created>
  <dcterms:modified xsi:type="dcterms:W3CDTF">2023-10-10T16:42:00Z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